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9CE8F" w14:textId="77777777" w:rsidR="00495900" w:rsidRPr="00FB7C64" w:rsidRDefault="00495900" w:rsidP="00495900">
      <w:pPr>
        <w:spacing w:after="0" w:line="240" w:lineRule="auto"/>
        <w:jc w:val="center"/>
        <w:rPr>
          <w:b/>
          <w:color w:val="4F81BD" w:themeColor="accent1"/>
          <w:sz w:val="32"/>
          <w:szCs w:val="30"/>
        </w:rPr>
      </w:pPr>
      <w:r w:rsidRPr="00FB7C64">
        <w:rPr>
          <w:b/>
          <w:color w:val="4F81BD" w:themeColor="accent1"/>
          <w:sz w:val="32"/>
          <w:szCs w:val="30"/>
        </w:rPr>
        <w:t>Cervical Cancer Screening</w:t>
      </w:r>
    </w:p>
    <w:p w14:paraId="2799CE90" w14:textId="77777777" w:rsidR="00495900" w:rsidRPr="005407CD" w:rsidRDefault="00495900" w:rsidP="00495900">
      <w:pPr>
        <w:spacing w:after="0" w:line="240" w:lineRule="auto"/>
        <w:jc w:val="center"/>
        <w:rPr>
          <w:color w:val="4F81BD" w:themeColor="accent1"/>
          <w:sz w:val="28"/>
          <w:szCs w:val="28"/>
        </w:rPr>
      </w:pPr>
      <w:r w:rsidRPr="005407CD">
        <w:rPr>
          <w:color w:val="4F81BD" w:themeColor="accent1"/>
          <w:sz w:val="28"/>
          <w:szCs w:val="28"/>
        </w:rPr>
        <w:t>Supporting Research and Best Practices</w:t>
      </w:r>
    </w:p>
    <w:p w14:paraId="2799CE91" w14:textId="77777777" w:rsidR="00495900" w:rsidRPr="00495900" w:rsidRDefault="00495900" w:rsidP="00017306">
      <w:pPr>
        <w:spacing w:after="0" w:line="240" w:lineRule="auto"/>
        <w:rPr>
          <w:b/>
          <w:sz w:val="30"/>
          <w:szCs w:val="30"/>
        </w:rPr>
      </w:pPr>
    </w:p>
    <w:p w14:paraId="2799CE93" w14:textId="2FDAF3FA" w:rsidR="00495900" w:rsidRDefault="00A21D02" w:rsidP="00017306">
      <w:pPr>
        <w:spacing w:after="120" w:line="240" w:lineRule="auto"/>
      </w:pPr>
      <w:r w:rsidRPr="00A21D02">
        <w:t xml:space="preserve">Cervical cancer was once one of the most </w:t>
      </w:r>
      <w:r w:rsidR="008553A7">
        <w:t xml:space="preserve">fatal cancers in the U.S. </w:t>
      </w:r>
      <w:r w:rsidR="00126A37">
        <w:t xml:space="preserve"> O</w:t>
      </w:r>
      <w:r w:rsidRPr="00A21D02">
        <w:t xml:space="preserve">ver the last 30 years, the cervical cancer death rate </w:t>
      </w:r>
      <w:r w:rsidR="00126A37">
        <w:t xml:space="preserve">has been </w:t>
      </w:r>
      <w:r w:rsidR="0091195B">
        <w:t>reduced</w:t>
      </w:r>
      <w:r w:rsidR="00EE3EE3">
        <w:t xml:space="preserve"> by more than 50% (American Cancer Society, 2015)</w:t>
      </w:r>
      <w:r w:rsidRPr="00A21D02">
        <w:t>. The main reason for this change was the increased use of the Pap test. This screening procedure can find changes in the c</w:t>
      </w:r>
      <w:r w:rsidR="002B7B2D">
        <w:t>ervix before cancer develops and</w:t>
      </w:r>
      <w:r w:rsidRPr="00A21D02">
        <w:t xml:space="preserve"> can also find cervical cancer early − in </w:t>
      </w:r>
      <w:r w:rsidR="00E91902">
        <w:t>its most curable stage</w:t>
      </w:r>
      <w:r w:rsidR="002C16AB">
        <w:t xml:space="preserve"> </w:t>
      </w:r>
      <w:r w:rsidR="002C16AB" w:rsidRPr="002C16AB">
        <w:t>(American Cancer Society,</w:t>
      </w:r>
      <w:r w:rsidR="002C16AB">
        <w:t xml:space="preserve"> 2015)</w:t>
      </w:r>
      <w:r w:rsidR="00E91902">
        <w:t xml:space="preserve">. However, screening tests for </w:t>
      </w:r>
      <w:r w:rsidR="00E91902" w:rsidRPr="0045629D">
        <w:t>cervical cancer remain underutilized despite their proven effectiveness in reducing morbidity and mortality</w:t>
      </w:r>
      <w:r w:rsidR="00E91902">
        <w:t>.</w:t>
      </w:r>
      <w:r w:rsidR="0091195B">
        <w:t xml:space="preserve"> SFHP’s cervical cancer screening rate (based on HEDIS guidelines) was just 74% in 2015</w:t>
      </w:r>
      <w:r w:rsidR="006958B5">
        <w:t>, with the national 90</w:t>
      </w:r>
      <w:r w:rsidR="006958B5" w:rsidRPr="006958B5">
        <w:rPr>
          <w:vertAlign w:val="superscript"/>
        </w:rPr>
        <w:t>th</w:t>
      </w:r>
      <w:r w:rsidR="006958B5">
        <w:t xml:space="preserve"> percentile </w:t>
      </w:r>
      <w:r w:rsidR="00A539ED">
        <w:t xml:space="preserve">for Medicaid not much higher at </w:t>
      </w:r>
      <w:r w:rsidR="00B619C4">
        <w:t>76</w:t>
      </w:r>
      <w:r w:rsidR="00B55AAA">
        <w:t xml:space="preserve">%. The </w:t>
      </w:r>
      <w:r w:rsidR="00B619C4">
        <w:t>national c</w:t>
      </w:r>
      <w:r w:rsidR="00B55AAA">
        <w:t>ervical cancer screening 90</w:t>
      </w:r>
      <w:r w:rsidR="00B55AAA" w:rsidRPr="00B55AAA">
        <w:rPr>
          <w:vertAlign w:val="superscript"/>
        </w:rPr>
        <w:t>th</w:t>
      </w:r>
      <w:r w:rsidR="00B55AAA">
        <w:t xml:space="preserve"> percentile is 82%</w:t>
      </w:r>
      <w:r w:rsidR="00B619C4">
        <w:t xml:space="preserve"> for commercial plans</w:t>
      </w:r>
      <w:r w:rsidR="00B55AAA">
        <w:t xml:space="preserve">. </w:t>
      </w:r>
      <w:r w:rsidR="006958B5">
        <w:t xml:space="preserve"> </w:t>
      </w:r>
    </w:p>
    <w:p w14:paraId="109A5E93" w14:textId="20F98F00" w:rsidR="006958B5" w:rsidRDefault="006958B5" w:rsidP="006958B5">
      <w:pPr>
        <w:spacing w:after="120" w:line="240" w:lineRule="auto"/>
      </w:pPr>
      <w:r w:rsidRPr="00A21D02">
        <w:t xml:space="preserve">For </w:t>
      </w:r>
      <w:r w:rsidR="008553A7">
        <w:t>patients</w:t>
      </w:r>
      <w:r w:rsidR="008553A7" w:rsidRPr="00A21D02">
        <w:t xml:space="preserve"> </w:t>
      </w:r>
      <w:r w:rsidRPr="00A21D02">
        <w:t xml:space="preserve">in whom precancerous lesions are detected, the likelihood of survival is nearly 100% with appropriate evaluation, treatment, and follow-up. </w:t>
      </w:r>
      <w:r w:rsidR="008553A7">
        <w:t xml:space="preserve">Patients </w:t>
      </w:r>
      <w:r w:rsidRPr="00A21D02">
        <w:t>diagnosed with localized cervical cancer also have high survival rates (five-ye</w:t>
      </w:r>
      <w:r>
        <w:t>ar relative survival of 91%).</w:t>
      </w:r>
      <w:r w:rsidRPr="00A21D02">
        <w:t xml:space="preserve"> However, almost half of all cervical cancers are diagnosed at a regional or distant stage for which the five-year survival rate</w:t>
      </w:r>
      <w:r>
        <w:t xml:space="preserve"> is 57% or 16%, respectively,</w:t>
      </w:r>
      <w:r w:rsidRPr="00A21D02">
        <w:t xml:space="preserve"> and most (60-80%) </w:t>
      </w:r>
      <w:r w:rsidR="008553A7">
        <w:t xml:space="preserve">patients </w:t>
      </w:r>
      <w:r w:rsidRPr="00A21D02">
        <w:t>diagnosed at these later stages have not had a Pap</w:t>
      </w:r>
      <w:r>
        <w:t xml:space="preserve"> test in the past five years.</w:t>
      </w:r>
      <w:r w:rsidR="008878C3">
        <w:t xml:space="preserve"> (American Cancer Society, 2015)</w:t>
      </w:r>
    </w:p>
    <w:p w14:paraId="20864C36" w14:textId="0FB910EA" w:rsidR="00E56C6D" w:rsidRDefault="00363281" w:rsidP="006958B5">
      <w:pPr>
        <w:spacing w:after="120" w:line="240" w:lineRule="auto"/>
      </w:pPr>
      <w:r>
        <w:t xml:space="preserve">One key factor in reducing cervical cancer illness and death is adherence to clinical guidelines. </w:t>
      </w:r>
      <w:r w:rsidR="00C80AB1">
        <w:t>The US Preventive Task For</w:t>
      </w:r>
      <w:r w:rsidR="0051514C">
        <w:t xml:space="preserve">ce </w:t>
      </w:r>
      <w:r w:rsidR="00CC4363">
        <w:t xml:space="preserve">released </w:t>
      </w:r>
      <w:r w:rsidR="0051514C">
        <w:t xml:space="preserve">Grade </w:t>
      </w:r>
      <w:proofErr w:type="gramStart"/>
      <w:r w:rsidR="0051514C">
        <w:t>A</w:t>
      </w:r>
      <w:proofErr w:type="gramEnd"/>
      <w:r w:rsidR="0051514C">
        <w:t xml:space="preserve"> recommendations</w:t>
      </w:r>
      <w:r w:rsidR="00CC4363">
        <w:t xml:space="preserve"> in 2012, which are reflected in current HEDIS measure specifications</w:t>
      </w:r>
      <w:r w:rsidR="0051514C">
        <w:t>.</w:t>
      </w:r>
      <w:r w:rsidR="0051514C">
        <w:rPr>
          <w:rStyle w:val="FootnoteReference"/>
        </w:rPr>
        <w:footnoteReference w:id="1"/>
      </w:r>
      <w:r w:rsidR="0051514C">
        <w:t xml:space="preserve"> </w:t>
      </w:r>
      <w:r>
        <w:t>Research indicates that</w:t>
      </w:r>
      <w:r w:rsidR="00D0705B">
        <w:t xml:space="preserve"> “o</w:t>
      </w:r>
      <w:r w:rsidR="00D0705B" w:rsidRPr="00D0705B">
        <w:t>ver</w:t>
      </w:r>
      <w:r w:rsidR="007073E3">
        <w:t>-</w:t>
      </w:r>
      <w:r w:rsidR="00D0705B" w:rsidRPr="00D0705B">
        <w:t>screening, under</w:t>
      </w:r>
      <w:r w:rsidR="007073E3">
        <w:t>-</w:t>
      </w:r>
      <w:r w:rsidR="00D0705B" w:rsidRPr="00D0705B">
        <w:t xml:space="preserve">screening, losing track </w:t>
      </w:r>
      <w:r w:rsidR="008553A7">
        <w:t>…</w:t>
      </w:r>
      <w:r w:rsidR="00D0705B" w:rsidRPr="00D0705B">
        <w:t xml:space="preserve"> in </w:t>
      </w:r>
      <w:proofErr w:type="gramStart"/>
      <w:r w:rsidR="00D0705B" w:rsidRPr="00D0705B">
        <w:t>follow-up,</w:t>
      </w:r>
      <w:proofErr w:type="gramEnd"/>
      <w:r w:rsidR="00D0705B" w:rsidRPr="00D0705B">
        <w:t xml:space="preserve"> and poor management </w:t>
      </w:r>
      <w:r w:rsidR="008553A7">
        <w:t>…</w:t>
      </w:r>
      <w:r w:rsidR="00D0705B" w:rsidRPr="00D0705B">
        <w:t xml:space="preserve"> abnormal test results have all contributed to approximately 12,000 new cases and 4</w:t>
      </w:r>
      <w:r w:rsidR="00126A37">
        <w:t>,</w:t>
      </w:r>
      <w:r w:rsidR="00D0705B" w:rsidRPr="00D0705B">
        <w:t>000 deaths from cervical cancer annually</w:t>
      </w:r>
      <w:r w:rsidR="00E56C6D">
        <w:rPr>
          <w:rStyle w:val="FootnoteReference"/>
        </w:rPr>
        <w:footnoteReference w:id="2"/>
      </w:r>
      <w:r w:rsidR="00E56C6D">
        <w:t>.” The table below further illustrates the benefits of adhering to the clinical guidelines for cervical cancer screening.</w:t>
      </w:r>
      <w:r w:rsidR="00E56C6D">
        <w:rPr>
          <w:rStyle w:val="FootnoteReference"/>
        </w:rPr>
        <w:footnoteReference w:id="3"/>
      </w:r>
      <w:r w:rsidR="00E56C6D">
        <w:t xml:space="preserve"> </w:t>
      </w:r>
    </w:p>
    <w:tbl>
      <w:tblPr>
        <w:tblStyle w:val="TableGrid"/>
        <w:tblW w:w="0" w:type="auto"/>
        <w:jc w:val="center"/>
        <w:tblInd w:w="-961" w:type="dxa"/>
        <w:tblLook w:val="04A0" w:firstRow="1" w:lastRow="0" w:firstColumn="1" w:lastColumn="0" w:noHBand="0" w:noVBand="1"/>
      </w:tblPr>
      <w:tblGrid>
        <w:gridCol w:w="3300"/>
        <w:gridCol w:w="2561"/>
        <w:gridCol w:w="2338"/>
      </w:tblGrid>
      <w:tr w:rsidR="00E56C6D" w14:paraId="481AB22F" w14:textId="77777777" w:rsidTr="00996D91">
        <w:trPr>
          <w:jc w:val="center"/>
        </w:trPr>
        <w:tc>
          <w:tcPr>
            <w:tcW w:w="3300" w:type="dxa"/>
            <w:shd w:val="clear" w:color="auto" w:fill="1F497D" w:themeFill="text2"/>
            <w:vAlign w:val="center"/>
          </w:tcPr>
          <w:p w14:paraId="70736108" w14:textId="77777777" w:rsidR="007073E3" w:rsidRPr="00996D91" w:rsidRDefault="00E56C6D" w:rsidP="007073E3">
            <w:pPr>
              <w:jc w:val="center"/>
              <w:rPr>
                <w:rFonts w:cstheme="minorHAnsi"/>
                <w:b/>
                <w:color w:val="FFFFFF" w:themeColor="background1"/>
                <w:sz w:val="20"/>
                <w:szCs w:val="20"/>
              </w:rPr>
            </w:pPr>
            <w:r w:rsidRPr="00996D91">
              <w:rPr>
                <w:rFonts w:cstheme="minorHAnsi"/>
                <w:b/>
                <w:color w:val="FFFFFF" w:themeColor="background1"/>
                <w:sz w:val="20"/>
                <w:szCs w:val="20"/>
              </w:rPr>
              <w:t xml:space="preserve">Intervention </w:t>
            </w:r>
          </w:p>
          <w:p w14:paraId="6535CED1" w14:textId="155E6FE3" w:rsidR="00E56C6D" w:rsidRPr="00996D91" w:rsidRDefault="00E56C6D" w:rsidP="007073E3">
            <w:pPr>
              <w:spacing w:after="120"/>
              <w:jc w:val="center"/>
              <w:rPr>
                <w:rFonts w:cstheme="minorHAnsi"/>
                <w:b/>
                <w:color w:val="FFFFFF" w:themeColor="background1"/>
                <w:sz w:val="20"/>
                <w:szCs w:val="20"/>
              </w:rPr>
            </w:pPr>
            <w:r w:rsidRPr="00996D91">
              <w:rPr>
                <w:rFonts w:cstheme="minorHAnsi"/>
                <w:b/>
                <w:color w:val="FFFFFF" w:themeColor="background1"/>
                <w:sz w:val="20"/>
                <w:szCs w:val="20"/>
              </w:rPr>
              <w:t>(compared with no screening)</w:t>
            </w:r>
          </w:p>
        </w:tc>
        <w:tc>
          <w:tcPr>
            <w:tcW w:w="2561" w:type="dxa"/>
            <w:shd w:val="clear" w:color="auto" w:fill="1F497D" w:themeFill="text2"/>
            <w:vAlign w:val="center"/>
          </w:tcPr>
          <w:p w14:paraId="23B7A0C8" w14:textId="6AC94BFC" w:rsidR="00E56C6D" w:rsidRPr="00996D91" w:rsidRDefault="007073E3" w:rsidP="007073E3">
            <w:pPr>
              <w:spacing w:after="120"/>
              <w:jc w:val="center"/>
              <w:rPr>
                <w:rFonts w:cstheme="minorHAnsi"/>
                <w:b/>
                <w:color w:val="FFFFFF" w:themeColor="background1"/>
                <w:sz w:val="20"/>
                <w:szCs w:val="20"/>
              </w:rPr>
            </w:pPr>
            <w:r w:rsidRPr="00996D91">
              <w:rPr>
                <w:rFonts w:cstheme="minorHAnsi"/>
                <w:b/>
                <w:color w:val="FFFFFF" w:themeColor="background1"/>
                <w:sz w:val="20"/>
                <w:szCs w:val="20"/>
              </w:rPr>
              <w:t>Percent Drop in Cervical Cancer I</w:t>
            </w:r>
            <w:r w:rsidR="00E56C6D" w:rsidRPr="00996D91">
              <w:rPr>
                <w:rFonts w:cstheme="minorHAnsi"/>
                <w:b/>
                <w:color w:val="FFFFFF" w:themeColor="background1"/>
                <w:sz w:val="20"/>
                <w:szCs w:val="20"/>
              </w:rPr>
              <w:t>ncidence</w:t>
            </w:r>
          </w:p>
        </w:tc>
        <w:tc>
          <w:tcPr>
            <w:tcW w:w="2338" w:type="dxa"/>
            <w:shd w:val="clear" w:color="auto" w:fill="1F497D" w:themeFill="text2"/>
            <w:vAlign w:val="center"/>
          </w:tcPr>
          <w:p w14:paraId="569FD80B" w14:textId="56254FCD" w:rsidR="00E56C6D" w:rsidRPr="00996D91" w:rsidRDefault="007073E3" w:rsidP="007073E3">
            <w:pPr>
              <w:spacing w:after="120"/>
              <w:jc w:val="center"/>
              <w:rPr>
                <w:rFonts w:cstheme="minorHAnsi"/>
                <w:b/>
                <w:color w:val="FFFFFF" w:themeColor="background1"/>
                <w:sz w:val="20"/>
                <w:szCs w:val="20"/>
              </w:rPr>
            </w:pPr>
            <w:r w:rsidRPr="00996D91">
              <w:rPr>
                <w:rFonts w:cstheme="minorHAnsi"/>
                <w:b/>
                <w:color w:val="FFFFFF" w:themeColor="background1"/>
                <w:sz w:val="20"/>
                <w:szCs w:val="20"/>
              </w:rPr>
              <w:t>Percent Drop in Cervical Cancer M</w:t>
            </w:r>
            <w:r w:rsidR="00E56C6D" w:rsidRPr="00996D91">
              <w:rPr>
                <w:rFonts w:cstheme="minorHAnsi"/>
                <w:b/>
                <w:color w:val="FFFFFF" w:themeColor="background1"/>
                <w:sz w:val="20"/>
                <w:szCs w:val="20"/>
              </w:rPr>
              <w:t>ortality</w:t>
            </w:r>
          </w:p>
        </w:tc>
      </w:tr>
      <w:tr w:rsidR="00E56C6D" w14:paraId="0ED6F021" w14:textId="77777777" w:rsidTr="00D0705B">
        <w:trPr>
          <w:jc w:val="center"/>
        </w:trPr>
        <w:tc>
          <w:tcPr>
            <w:tcW w:w="3300" w:type="dxa"/>
          </w:tcPr>
          <w:p w14:paraId="6E39A7DA" w14:textId="3A81A0DB" w:rsidR="00E56C6D" w:rsidRDefault="00E56C6D" w:rsidP="006958B5">
            <w:pPr>
              <w:spacing w:after="120"/>
              <w:rPr>
                <w:rFonts w:cstheme="minorHAnsi"/>
                <w:sz w:val="20"/>
                <w:szCs w:val="20"/>
              </w:rPr>
            </w:pPr>
            <w:r>
              <w:rPr>
                <w:rFonts w:cstheme="minorHAnsi"/>
                <w:sz w:val="20"/>
                <w:szCs w:val="20"/>
              </w:rPr>
              <w:t>Current screening practice</w:t>
            </w:r>
          </w:p>
        </w:tc>
        <w:tc>
          <w:tcPr>
            <w:tcW w:w="2561" w:type="dxa"/>
          </w:tcPr>
          <w:p w14:paraId="43329881" w14:textId="0FF9C3D8" w:rsidR="00E56C6D" w:rsidRDefault="00E56C6D" w:rsidP="006958B5">
            <w:pPr>
              <w:spacing w:after="120"/>
              <w:rPr>
                <w:rFonts w:cstheme="minorHAnsi"/>
                <w:sz w:val="20"/>
                <w:szCs w:val="20"/>
              </w:rPr>
            </w:pPr>
            <w:r>
              <w:rPr>
                <w:rFonts w:cstheme="minorHAnsi"/>
                <w:sz w:val="20"/>
                <w:szCs w:val="20"/>
              </w:rPr>
              <w:t>48.5%</w:t>
            </w:r>
          </w:p>
        </w:tc>
        <w:tc>
          <w:tcPr>
            <w:tcW w:w="2338" w:type="dxa"/>
          </w:tcPr>
          <w:p w14:paraId="07116821" w14:textId="7BDAF587" w:rsidR="00E56C6D" w:rsidRDefault="00E56C6D" w:rsidP="006958B5">
            <w:pPr>
              <w:spacing w:after="120"/>
              <w:rPr>
                <w:rFonts w:cstheme="minorHAnsi"/>
                <w:sz w:val="20"/>
                <w:szCs w:val="20"/>
              </w:rPr>
            </w:pPr>
            <w:r>
              <w:rPr>
                <w:rFonts w:cstheme="minorHAnsi"/>
                <w:sz w:val="20"/>
                <w:szCs w:val="20"/>
              </w:rPr>
              <w:t>58.4%</w:t>
            </w:r>
          </w:p>
        </w:tc>
      </w:tr>
      <w:tr w:rsidR="00E56C6D" w14:paraId="6E0692D5" w14:textId="77777777" w:rsidTr="00D0705B">
        <w:trPr>
          <w:jc w:val="center"/>
        </w:trPr>
        <w:tc>
          <w:tcPr>
            <w:tcW w:w="3300" w:type="dxa"/>
          </w:tcPr>
          <w:p w14:paraId="733A801D" w14:textId="0259E741" w:rsidR="00E56C6D" w:rsidRDefault="00E56C6D" w:rsidP="006958B5">
            <w:pPr>
              <w:spacing w:after="120"/>
              <w:rPr>
                <w:rFonts w:cstheme="minorHAnsi"/>
                <w:sz w:val="20"/>
                <w:szCs w:val="20"/>
              </w:rPr>
            </w:pPr>
            <w:proofErr w:type="spellStart"/>
            <w:r>
              <w:rPr>
                <w:rFonts w:cstheme="minorHAnsi"/>
                <w:sz w:val="20"/>
                <w:szCs w:val="20"/>
              </w:rPr>
              <w:t>Cytologic</w:t>
            </w:r>
            <w:proofErr w:type="spellEnd"/>
            <w:r>
              <w:rPr>
                <w:rFonts w:cstheme="minorHAnsi"/>
                <w:sz w:val="20"/>
                <w:szCs w:val="20"/>
              </w:rPr>
              <w:t xml:space="preserve"> screening every 3 years</w:t>
            </w:r>
          </w:p>
        </w:tc>
        <w:tc>
          <w:tcPr>
            <w:tcW w:w="2561" w:type="dxa"/>
          </w:tcPr>
          <w:p w14:paraId="66C6D0F7" w14:textId="1A0A47DD" w:rsidR="00E56C6D" w:rsidRDefault="00E56C6D" w:rsidP="006958B5">
            <w:pPr>
              <w:spacing w:after="120"/>
              <w:rPr>
                <w:rFonts w:cstheme="minorHAnsi"/>
                <w:sz w:val="20"/>
                <w:szCs w:val="20"/>
              </w:rPr>
            </w:pPr>
            <w:r>
              <w:rPr>
                <w:rFonts w:cstheme="minorHAnsi"/>
                <w:sz w:val="20"/>
                <w:szCs w:val="20"/>
              </w:rPr>
              <w:t>80.9%</w:t>
            </w:r>
          </w:p>
        </w:tc>
        <w:tc>
          <w:tcPr>
            <w:tcW w:w="2338" w:type="dxa"/>
          </w:tcPr>
          <w:p w14:paraId="744B8FA9" w14:textId="17739A84" w:rsidR="00E56C6D" w:rsidRDefault="00E56C6D" w:rsidP="006958B5">
            <w:pPr>
              <w:spacing w:after="120"/>
              <w:rPr>
                <w:rFonts w:cstheme="minorHAnsi"/>
                <w:sz w:val="20"/>
                <w:szCs w:val="20"/>
              </w:rPr>
            </w:pPr>
            <w:r>
              <w:rPr>
                <w:rFonts w:cstheme="minorHAnsi"/>
                <w:sz w:val="20"/>
                <w:szCs w:val="20"/>
              </w:rPr>
              <w:t>86.7%</w:t>
            </w:r>
          </w:p>
        </w:tc>
      </w:tr>
      <w:tr w:rsidR="00E56C6D" w14:paraId="5D93B926" w14:textId="77777777" w:rsidTr="00D0705B">
        <w:trPr>
          <w:jc w:val="center"/>
        </w:trPr>
        <w:tc>
          <w:tcPr>
            <w:tcW w:w="3300" w:type="dxa"/>
          </w:tcPr>
          <w:p w14:paraId="2BF4C7D8" w14:textId="10D000F8" w:rsidR="00E56C6D" w:rsidRDefault="00E56C6D" w:rsidP="006958B5">
            <w:pPr>
              <w:spacing w:after="120"/>
              <w:rPr>
                <w:rFonts w:cstheme="minorHAnsi"/>
                <w:sz w:val="20"/>
                <w:szCs w:val="20"/>
              </w:rPr>
            </w:pPr>
            <w:r>
              <w:rPr>
                <w:rFonts w:cstheme="minorHAnsi"/>
                <w:sz w:val="20"/>
                <w:szCs w:val="20"/>
              </w:rPr>
              <w:t>HPV co-testing every 5 years</w:t>
            </w:r>
          </w:p>
        </w:tc>
        <w:tc>
          <w:tcPr>
            <w:tcW w:w="2561" w:type="dxa"/>
          </w:tcPr>
          <w:p w14:paraId="0D3BDB96" w14:textId="2C05479E" w:rsidR="00E56C6D" w:rsidRDefault="00E56C6D" w:rsidP="006958B5">
            <w:pPr>
              <w:spacing w:after="120"/>
              <w:rPr>
                <w:rFonts w:cstheme="minorHAnsi"/>
                <w:sz w:val="20"/>
                <w:szCs w:val="20"/>
              </w:rPr>
            </w:pPr>
            <w:r>
              <w:rPr>
                <w:rFonts w:cstheme="minorHAnsi"/>
                <w:sz w:val="20"/>
                <w:szCs w:val="20"/>
              </w:rPr>
              <w:t>91.1%</w:t>
            </w:r>
          </w:p>
        </w:tc>
        <w:tc>
          <w:tcPr>
            <w:tcW w:w="2338" w:type="dxa"/>
          </w:tcPr>
          <w:p w14:paraId="4C63B3AD" w14:textId="619954A2" w:rsidR="00E56C6D" w:rsidRDefault="00E56C6D" w:rsidP="006958B5">
            <w:pPr>
              <w:spacing w:after="120"/>
              <w:rPr>
                <w:rFonts w:cstheme="minorHAnsi"/>
                <w:sz w:val="20"/>
                <w:szCs w:val="20"/>
              </w:rPr>
            </w:pPr>
            <w:r>
              <w:rPr>
                <w:rFonts w:cstheme="minorHAnsi"/>
                <w:sz w:val="20"/>
                <w:szCs w:val="20"/>
              </w:rPr>
              <w:t>93.5%</w:t>
            </w:r>
          </w:p>
        </w:tc>
      </w:tr>
    </w:tbl>
    <w:p w14:paraId="33A76259" w14:textId="77777777" w:rsidR="00E56C6D" w:rsidRPr="00456C6D" w:rsidRDefault="00E56C6D" w:rsidP="006958B5">
      <w:pPr>
        <w:spacing w:after="120" w:line="240" w:lineRule="auto"/>
        <w:rPr>
          <w:rFonts w:cstheme="minorHAnsi"/>
          <w:sz w:val="20"/>
          <w:szCs w:val="20"/>
        </w:rPr>
      </w:pPr>
    </w:p>
    <w:p w14:paraId="0D2AD51E" w14:textId="3ECE1ADC" w:rsidR="00E56C6D" w:rsidRDefault="00A539ED" w:rsidP="006958B5">
      <w:pPr>
        <w:spacing w:after="120" w:line="240" w:lineRule="auto"/>
      </w:pPr>
      <w:r w:rsidRPr="008F7CF1">
        <w:t xml:space="preserve">There is strong evidence that client reminders increase screening </w:t>
      </w:r>
      <w:r>
        <w:t xml:space="preserve">rates for cervical cancer (CDC). </w:t>
      </w:r>
      <w:r w:rsidR="00E56C6D">
        <w:t>Research also indicates that physicians’ communication style has a strong impact on patient likeliness to</w:t>
      </w:r>
      <w:r>
        <w:t xml:space="preserve"> receive the HPV vaccination, an outcome </w:t>
      </w:r>
      <w:r w:rsidR="00E56C6D">
        <w:t xml:space="preserve">potentially applicable to cervical cancer screening as well. Factors such as strong recommendation of the vaccine, suggesting same-day vaccination, and </w:t>
      </w:r>
      <w:r w:rsidR="00E56C6D">
        <w:lastRenderedPageBreak/>
        <w:t>consistency in recommendation regardless of individual patient risk</w:t>
      </w:r>
      <w:r>
        <w:t>,</w:t>
      </w:r>
      <w:r w:rsidR="00E56C6D">
        <w:t xml:space="preserve"> all had an important impact on whether </w:t>
      </w:r>
      <w:r w:rsidR="00126A37">
        <w:t>a patient</w:t>
      </w:r>
      <w:r w:rsidR="00E56C6D">
        <w:t xml:space="preserve"> received the HPV vaccine. </w:t>
      </w:r>
      <w:r w:rsidR="00E56C6D">
        <w:rPr>
          <w:rStyle w:val="FootnoteReference"/>
        </w:rPr>
        <w:footnoteReference w:id="4"/>
      </w:r>
      <w:r w:rsidR="00E56C6D">
        <w:t xml:space="preserve">   </w:t>
      </w:r>
    </w:p>
    <w:p w14:paraId="52F66D20" w14:textId="38B14854" w:rsidR="00E56C6D" w:rsidRDefault="00A539ED" w:rsidP="00017306">
      <w:pPr>
        <w:spacing w:after="120" w:line="240" w:lineRule="auto"/>
      </w:pPr>
      <w:r>
        <w:rPr>
          <w:rFonts w:cstheme="minorHAnsi"/>
          <w:lang w:val="en"/>
        </w:rPr>
        <w:t>In fact, t</w:t>
      </w:r>
      <w:r w:rsidR="00E56C6D" w:rsidRPr="00456C6D">
        <w:rPr>
          <w:rFonts w:cstheme="minorHAnsi"/>
          <w:lang w:val="en"/>
        </w:rPr>
        <w:t>he most important risk factor for cervical cancer is infection by the human papilloma virus (HPV). HPV is a group of</w:t>
      </w:r>
      <w:r w:rsidR="00E56C6D">
        <w:rPr>
          <w:rFonts w:cstheme="minorHAnsi"/>
          <w:lang w:val="en"/>
        </w:rPr>
        <w:t xml:space="preserve"> more than 150 related viruses, and a</w:t>
      </w:r>
      <w:r w:rsidR="00E56C6D" w:rsidRPr="00456C6D">
        <w:rPr>
          <w:rFonts w:cstheme="minorHAnsi"/>
          <w:lang w:val="en"/>
        </w:rPr>
        <w:t>bout two-thirds of all cervical cancers are caused by HPV 16 and 18</w:t>
      </w:r>
      <w:r w:rsidR="00E56C6D">
        <w:rPr>
          <w:rFonts w:cstheme="minorHAnsi"/>
          <w:lang w:val="en"/>
        </w:rPr>
        <w:t xml:space="preserve"> (American Cancer Society)</w:t>
      </w:r>
      <w:r w:rsidR="00E56C6D" w:rsidRPr="00456C6D">
        <w:rPr>
          <w:rFonts w:cstheme="minorHAnsi"/>
          <w:lang w:val="en"/>
        </w:rPr>
        <w:t>.</w:t>
      </w:r>
      <w:r w:rsidR="00E56C6D">
        <w:rPr>
          <w:rFonts w:cstheme="minorHAnsi"/>
        </w:rPr>
        <w:t xml:space="preserve"> </w:t>
      </w:r>
      <w:r w:rsidR="00E56C6D" w:rsidRPr="00A21D02">
        <w:t xml:space="preserve">It is important to </w:t>
      </w:r>
      <w:r w:rsidR="008D2913">
        <w:t>note</w:t>
      </w:r>
      <w:r w:rsidR="00E56C6D" w:rsidRPr="00A21D02">
        <w:t xml:space="preserve"> that </w:t>
      </w:r>
      <w:r w:rsidR="008553A7">
        <w:t>patients</w:t>
      </w:r>
      <w:r w:rsidR="008553A7" w:rsidRPr="00A21D02">
        <w:t xml:space="preserve"> </w:t>
      </w:r>
      <w:r w:rsidR="00E56C6D" w:rsidRPr="00A21D02">
        <w:t>who receive the HPV vaccine should still follow recommended screening guidelines because the vaccines do not protect against all types of HPV.</w:t>
      </w:r>
    </w:p>
    <w:p w14:paraId="49CA8978" w14:textId="6519006E" w:rsidR="00CC4363" w:rsidRDefault="00E56C6D" w:rsidP="00017306">
      <w:pPr>
        <w:spacing w:after="120" w:line="240" w:lineRule="auto"/>
      </w:pPr>
      <w:r>
        <w:t>H</w:t>
      </w:r>
      <w:r w:rsidRPr="002B3CFC">
        <w:t xml:space="preserve">ealth disparities in cervical cancer screening (CCS) persist </w:t>
      </w:r>
      <w:r w:rsidR="008553A7">
        <w:t>in</w:t>
      </w:r>
      <w:r w:rsidRPr="002B3CFC">
        <w:t xml:space="preserve"> racial and ethnic minorities and those residing in rural and poor communities.</w:t>
      </w:r>
      <w:r w:rsidRPr="008A3103">
        <w:t xml:space="preserve"> </w:t>
      </w:r>
      <w:r>
        <w:t xml:space="preserve">This is particularly important because the burden of cervical cancer is heavier among individuals in some racial/ethnic groups – </w:t>
      </w:r>
      <w:r w:rsidR="00081A1E">
        <w:t>Latin@</w:t>
      </w:r>
      <w:r w:rsidR="00244C0C">
        <w:rPr>
          <w:rStyle w:val="FootnoteReference"/>
        </w:rPr>
        <w:footnoteReference w:id="5"/>
      </w:r>
      <w:r>
        <w:t xml:space="preserve"> </w:t>
      </w:r>
      <w:r w:rsidR="008553A7">
        <w:t xml:space="preserve">patients </w:t>
      </w:r>
      <w:proofErr w:type="gramStart"/>
      <w:r>
        <w:t>have</w:t>
      </w:r>
      <w:proofErr w:type="gramEnd"/>
      <w:r>
        <w:t xml:space="preserve"> the highest rate of developing cervical cancer, and African American</w:t>
      </w:r>
      <w:r w:rsidR="008553A7">
        <w:t>s</w:t>
      </w:r>
      <w:r>
        <w:t xml:space="preserve"> die from cervical cancer at a much higher rate</w:t>
      </w:r>
      <w:r w:rsidR="00081A1E">
        <w:t xml:space="preserve"> than other groups</w:t>
      </w:r>
      <w:r>
        <w:t xml:space="preserve">. </w:t>
      </w:r>
      <w:r>
        <w:rPr>
          <w:rStyle w:val="FootnoteReference"/>
        </w:rPr>
        <w:footnoteReference w:id="6"/>
      </w:r>
      <w:r>
        <w:t>In</w:t>
      </w:r>
      <w:r w:rsidR="00E32FF4">
        <w:t xml:space="preserve"> San Francisco, large disparities in cervical cancer screening rates exist across SFHP’s provider network. While each medical group has different racial/ethnic groups facing </w:t>
      </w:r>
      <w:r w:rsidR="00217711">
        <w:t xml:space="preserve">cervical cancer screening disparities, this was the most prevalent trend across all groups. It is also important to note that the disparities often occurred in the most “different” group(s) from the </w:t>
      </w:r>
      <w:r w:rsidR="0091195B">
        <w:t xml:space="preserve">medical </w:t>
      </w:r>
      <w:r w:rsidR="00217711">
        <w:t xml:space="preserve">group’s primary population. </w:t>
      </w:r>
      <w:r w:rsidR="00A539ED">
        <w:t xml:space="preserve">The table below illustrates the largest racial/ethnic disparities in cervical cancer screening </w:t>
      </w:r>
      <w:r w:rsidR="00674AD2">
        <w:t xml:space="preserve">by blinded medical group </w:t>
      </w:r>
      <w:r w:rsidR="00A539ED">
        <w:t>in HEDIS measurement year 2014 (differences above 5% indicated in red).</w:t>
      </w:r>
    </w:p>
    <w:tbl>
      <w:tblPr>
        <w:tblStyle w:val="TableGrid"/>
        <w:tblW w:w="9540" w:type="dxa"/>
        <w:tblInd w:w="108" w:type="dxa"/>
        <w:tblLayout w:type="fixed"/>
        <w:tblLook w:val="04A0" w:firstRow="1" w:lastRow="0" w:firstColumn="1" w:lastColumn="0" w:noHBand="0" w:noVBand="1"/>
      </w:tblPr>
      <w:tblGrid>
        <w:gridCol w:w="1260"/>
        <w:gridCol w:w="990"/>
        <w:gridCol w:w="720"/>
        <w:gridCol w:w="990"/>
        <w:gridCol w:w="720"/>
        <w:gridCol w:w="990"/>
        <w:gridCol w:w="630"/>
        <w:gridCol w:w="900"/>
        <w:gridCol w:w="630"/>
        <w:gridCol w:w="900"/>
        <w:gridCol w:w="810"/>
      </w:tblGrid>
      <w:tr w:rsidR="00D7330C" w14:paraId="7678BCC9" w14:textId="77777777" w:rsidTr="00F702D6">
        <w:tc>
          <w:tcPr>
            <w:tcW w:w="1260" w:type="dxa"/>
            <w:vMerge w:val="restart"/>
            <w:shd w:val="clear" w:color="auto" w:fill="1F497D" w:themeFill="text2"/>
            <w:vAlign w:val="center"/>
          </w:tcPr>
          <w:p w14:paraId="7C79B395" w14:textId="4990A511" w:rsidR="00D7330C" w:rsidRPr="00996D91" w:rsidRDefault="00D7330C" w:rsidP="00F702D6">
            <w:pPr>
              <w:spacing w:after="120"/>
              <w:jc w:val="center"/>
              <w:rPr>
                <w:b/>
                <w:color w:val="FFFFFF" w:themeColor="background1"/>
                <w:sz w:val="20"/>
              </w:rPr>
            </w:pPr>
            <w:r w:rsidRPr="00996D91">
              <w:rPr>
                <w:b/>
                <w:color w:val="FFFFFF" w:themeColor="background1"/>
                <w:sz w:val="20"/>
              </w:rPr>
              <w:t xml:space="preserve">SFHP HEDIS - </w:t>
            </w:r>
            <w:r w:rsidR="00F702D6">
              <w:rPr>
                <w:b/>
                <w:color w:val="FFFFFF" w:themeColor="background1"/>
                <w:sz w:val="20"/>
              </w:rPr>
              <w:t>MY</w:t>
            </w:r>
            <w:r w:rsidRPr="00996D91">
              <w:rPr>
                <w:b/>
                <w:color w:val="FFFFFF" w:themeColor="background1"/>
                <w:sz w:val="20"/>
              </w:rPr>
              <w:t xml:space="preserve"> 2014</w:t>
            </w:r>
          </w:p>
        </w:tc>
        <w:tc>
          <w:tcPr>
            <w:tcW w:w="1710" w:type="dxa"/>
            <w:gridSpan w:val="2"/>
            <w:tcBorders>
              <w:bottom w:val="single" w:sz="4" w:space="0" w:color="auto"/>
            </w:tcBorders>
          </w:tcPr>
          <w:p w14:paraId="63EB5E67" w14:textId="0BCBE6C6" w:rsidR="00D7330C" w:rsidRPr="00D7330C" w:rsidRDefault="00D7330C" w:rsidP="00D7330C">
            <w:pPr>
              <w:spacing w:after="120"/>
              <w:jc w:val="center"/>
              <w:rPr>
                <w:b/>
                <w:sz w:val="20"/>
              </w:rPr>
            </w:pPr>
            <w:r w:rsidRPr="00D7330C">
              <w:rPr>
                <w:b/>
                <w:sz w:val="20"/>
              </w:rPr>
              <w:t>Group A</w:t>
            </w:r>
          </w:p>
        </w:tc>
        <w:tc>
          <w:tcPr>
            <w:tcW w:w="1710" w:type="dxa"/>
            <w:gridSpan w:val="2"/>
            <w:tcBorders>
              <w:bottom w:val="single" w:sz="4" w:space="0" w:color="auto"/>
            </w:tcBorders>
          </w:tcPr>
          <w:p w14:paraId="5791783F" w14:textId="2860F7E6" w:rsidR="00D7330C" w:rsidRPr="00D7330C" w:rsidRDefault="00D7330C" w:rsidP="00D7330C">
            <w:pPr>
              <w:spacing w:after="120"/>
              <w:jc w:val="center"/>
              <w:rPr>
                <w:b/>
                <w:sz w:val="20"/>
              </w:rPr>
            </w:pPr>
            <w:r w:rsidRPr="00D7330C">
              <w:rPr>
                <w:b/>
                <w:sz w:val="20"/>
              </w:rPr>
              <w:t>Group B</w:t>
            </w:r>
          </w:p>
        </w:tc>
        <w:tc>
          <w:tcPr>
            <w:tcW w:w="1620" w:type="dxa"/>
            <w:gridSpan w:val="2"/>
            <w:tcBorders>
              <w:bottom w:val="single" w:sz="4" w:space="0" w:color="auto"/>
            </w:tcBorders>
          </w:tcPr>
          <w:p w14:paraId="02BEF922" w14:textId="2B12EE59" w:rsidR="00D7330C" w:rsidRPr="00D7330C" w:rsidRDefault="00D7330C" w:rsidP="00D7330C">
            <w:pPr>
              <w:spacing w:after="120"/>
              <w:jc w:val="center"/>
              <w:rPr>
                <w:b/>
                <w:sz w:val="20"/>
              </w:rPr>
            </w:pPr>
            <w:r w:rsidRPr="00D7330C">
              <w:rPr>
                <w:b/>
                <w:sz w:val="20"/>
              </w:rPr>
              <w:t>Group C</w:t>
            </w:r>
          </w:p>
        </w:tc>
        <w:tc>
          <w:tcPr>
            <w:tcW w:w="1530" w:type="dxa"/>
            <w:gridSpan w:val="2"/>
            <w:tcBorders>
              <w:bottom w:val="single" w:sz="4" w:space="0" w:color="auto"/>
            </w:tcBorders>
          </w:tcPr>
          <w:p w14:paraId="73684492" w14:textId="104EA43A" w:rsidR="00D7330C" w:rsidRPr="00D7330C" w:rsidRDefault="00D7330C" w:rsidP="00D7330C">
            <w:pPr>
              <w:spacing w:after="120"/>
              <w:jc w:val="center"/>
              <w:rPr>
                <w:b/>
                <w:sz w:val="20"/>
              </w:rPr>
            </w:pPr>
            <w:r w:rsidRPr="00D7330C">
              <w:rPr>
                <w:b/>
                <w:sz w:val="20"/>
              </w:rPr>
              <w:t>Group D</w:t>
            </w:r>
          </w:p>
        </w:tc>
        <w:tc>
          <w:tcPr>
            <w:tcW w:w="1710" w:type="dxa"/>
            <w:gridSpan w:val="2"/>
            <w:tcBorders>
              <w:bottom w:val="single" w:sz="4" w:space="0" w:color="auto"/>
            </w:tcBorders>
          </w:tcPr>
          <w:p w14:paraId="021B903A" w14:textId="33FEFB05" w:rsidR="00D7330C" w:rsidRPr="00D7330C" w:rsidRDefault="00D7330C" w:rsidP="00D7330C">
            <w:pPr>
              <w:spacing w:after="120"/>
              <w:jc w:val="center"/>
              <w:rPr>
                <w:b/>
                <w:sz w:val="20"/>
              </w:rPr>
            </w:pPr>
            <w:r w:rsidRPr="00D7330C">
              <w:rPr>
                <w:b/>
                <w:sz w:val="20"/>
              </w:rPr>
              <w:t>Group E</w:t>
            </w:r>
          </w:p>
        </w:tc>
      </w:tr>
      <w:tr w:rsidR="00F702D6" w14:paraId="56444EC4" w14:textId="77777777" w:rsidTr="00F702D6">
        <w:tc>
          <w:tcPr>
            <w:tcW w:w="1260" w:type="dxa"/>
            <w:vMerge/>
            <w:tcBorders>
              <w:bottom w:val="single" w:sz="12" w:space="0" w:color="auto"/>
            </w:tcBorders>
            <w:shd w:val="clear" w:color="auto" w:fill="1F497D" w:themeFill="text2"/>
          </w:tcPr>
          <w:p w14:paraId="0A7318CA" w14:textId="7E1A8BF2" w:rsidR="00D7330C" w:rsidRPr="00996D91" w:rsidRDefault="00D7330C" w:rsidP="00017306">
            <w:pPr>
              <w:spacing w:after="120"/>
              <w:rPr>
                <w:b/>
                <w:color w:val="FFFFFF" w:themeColor="background1"/>
                <w:sz w:val="20"/>
              </w:rPr>
            </w:pPr>
          </w:p>
        </w:tc>
        <w:tc>
          <w:tcPr>
            <w:tcW w:w="990" w:type="dxa"/>
            <w:tcBorders>
              <w:bottom w:val="single" w:sz="12" w:space="0" w:color="auto"/>
            </w:tcBorders>
          </w:tcPr>
          <w:p w14:paraId="09A37CB0" w14:textId="21480C78" w:rsidR="00D7330C" w:rsidRPr="00D7330C" w:rsidRDefault="00D7330C" w:rsidP="00A539ED">
            <w:pPr>
              <w:spacing w:after="120"/>
              <w:jc w:val="center"/>
              <w:rPr>
                <w:i/>
                <w:sz w:val="20"/>
              </w:rPr>
            </w:pPr>
            <w:r w:rsidRPr="00D7330C">
              <w:rPr>
                <w:i/>
                <w:sz w:val="20"/>
              </w:rPr>
              <w:t>% Diff</w:t>
            </w:r>
          </w:p>
        </w:tc>
        <w:tc>
          <w:tcPr>
            <w:tcW w:w="720" w:type="dxa"/>
            <w:tcBorders>
              <w:bottom w:val="single" w:sz="12" w:space="0" w:color="auto"/>
            </w:tcBorders>
          </w:tcPr>
          <w:p w14:paraId="5FF3185E" w14:textId="76E585A0" w:rsidR="00D7330C" w:rsidRPr="00D7330C" w:rsidRDefault="00D7330C" w:rsidP="00A539ED">
            <w:pPr>
              <w:spacing w:after="120"/>
              <w:jc w:val="center"/>
              <w:rPr>
                <w:i/>
                <w:sz w:val="20"/>
              </w:rPr>
            </w:pPr>
            <w:r w:rsidRPr="00D7330C">
              <w:rPr>
                <w:i/>
                <w:sz w:val="20"/>
              </w:rPr>
              <w:t>n</w:t>
            </w:r>
          </w:p>
        </w:tc>
        <w:tc>
          <w:tcPr>
            <w:tcW w:w="990" w:type="dxa"/>
            <w:tcBorders>
              <w:bottom w:val="single" w:sz="12" w:space="0" w:color="auto"/>
            </w:tcBorders>
          </w:tcPr>
          <w:p w14:paraId="0BFAC357" w14:textId="1BE68109" w:rsidR="00D7330C" w:rsidRPr="00D7330C" w:rsidRDefault="00D7330C" w:rsidP="00A539ED">
            <w:pPr>
              <w:spacing w:after="120"/>
              <w:jc w:val="center"/>
              <w:rPr>
                <w:i/>
                <w:sz w:val="20"/>
              </w:rPr>
            </w:pPr>
            <w:r w:rsidRPr="00D7330C">
              <w:rPr>
                <w:i/>
                <w:sz w:val="20"/>
              </w:rPr>
              <w:t>% Diff</w:t>
            </w:r>
          </w:p>
        </w:tc>
        <w:tc>
          <w:tcPr>
            <w:tcW w:w="720" w:type="dxa"/>
            <w:tcBorders>
              <w:bottom w:val="single" w:sz="12" w:space="0" w:color="auto"/>
            </w:tcBorders>
          </w:tcPr>
          <w:p w14:paraId="2E249761" w14:textId="74F0E40C" w:rsidR="00D7330C" w:rsidRPr="00D7330C" w:rsidRDefault="00D7330C" w:rsidP="00A539ED">
            <w:pPr>
              <w:spacing w:after="120"/>
              <w:jc w:val="center"/>
              <w:rPr>
                <w:i/>
                <w:sz w:val="20"/>
              </w:rPr>
            </w:pPr>
            <w:r w:rsidRPr="00D7330C">
              <w:rPr>
                <w:i/>
                <w:sz w:val="20"/>
              </w:rPr>
              <w:t>n</w:t>
            </w:r>
          </w:p>
        </w:tc>
        <w:tc>
          <w:tcPr>
            <w:tcW w:w="990" w:type="dxa"/>
            <w:tcBorders>
              <w:bottom w:val="single" w:sz="12" w:space="0" w:color="auto"/>
            </w:tcBorders>
          </w:tcPr>
          <w:p w14:paraId="4CD0359C" w14:textId="4C1FEF32" w:rsidR="00D7330C" w:rsidRPr="00D7330C" w:rsidRDefault="00D7330C" w:rsidP="00A539ED">
            <w:pPr>
              <w:spacing w:after="120"/>
              <w:jc w:val="center"/>
              <w:rPr>
                <w:i/>
                <w:sz w:val="20"/>
              </w:rPr>
            </w:pPr>
            <w:r w:rsidRPr="00D7330C">
              <w:rPr>
                <w:i/>
                <w:sz w:val="20"/>
              </w:rPr>
              <w:t>% Diff</w:t>
            </w:r>
          </w:p>
        </w:tc>
        <w:tc>
          <w:tcPr>
            <w:tcW w:w="630" w:type="dxa"/>
            <w:tcBorders>
              <w:bottom w:val="single" w:sz="12" w:space="0" w:color="auto"/>
            </w:tcBorders>
          </w:tcPr>
          <w:p w14:paraId="6AA5858D" w14:textId="00283E6A" w:rsidR="00D7330C" w:rsidRPr="00D7330C" w:rsidRDefault="00D7330C" w:rsidP="00A539ED">
            <w:pPr>
              <w:spacing w:after="120"/>
              <w:jc w:val="center"/>
              <w:rPr>
                <w:i/>
                <w:sz w:val="20"/>
              </w:rPr>
            </w:pPr>
            <w:r w:rsidRPr="00D7330C">
              <w:rPr>
                <w:i/>
                <w:sz w:val="20"/>
              </w:rPr>
              <w:t>n</w:t>
            </w:r>
          </w:p>
        </w:tc>
        <w:tc>
          <w:tcPr>
            <w:tcW w:w="900" w:type="dxa"/>
            <w:tcBorders>
              <w:bottom w:val="single" w:sz="12" w:space="0" w:color="auto"/>
            </w:tcBorders>
          </w:tcPr>
          <w:p w14:paraId="6B0150EE" w14:textId="14171CAE" w:rsidR="00D7330C" w:rsidRPr="00D7330C" w:rsidRDefault="00D7330C" w:rsidP="00A539ED">
            <w:pPr>
              <w:spacing w:after="120"/>
              <w:jc w:val="center"/>
              <w:rPr>
                <w:i/>
                <w:sz w:val="20"/>
              </w:rPr>
            </w:pPr>
            <w:r w:rsidRPr="00D7330C">
              <w:rPr>
                <w:i/>
                <w:sz w:val="20"/>
              </w:rPr>
              <w:t>% Diff</w:t>
            </w:r>
          </w:p>
        </w:tc>
        <w:tc>
          <w:tcPr>
            <w:tcW w:w="630" w:type="dxa"/>
            <w:tcBorders>
              <w:bottom w:val="single" w:sz="12" w:space="0" w:color="auto"/>
            </w:tcBorders>
          </w:tcPr>
          <w:p w14:paraId="2C8AAB14" w14:textId="55B3F383" w:rsidR="00D7330C" w:rsidRPr="00D7330C" w:rsidRDefault="00D7330C" w:rsidP="00A539ED">
            <w:pPr>
              <w:spacing w:after="120"/>
              <w:jc w:val="center"/>
              <w:rPr>
                <w:i/>
                <w:sz w:val="20"/>
              </w:rPr>
            </w:pPr>
            <w:r w:rsidRPr="00D7330C">
              <w:rPr>
                <w:i/>
                <w:sz w:val="20"/>
              </w:rPr>
              <w:t>n</w:t>
            </w:r>
          </w:p>
        </w:tc>
        <w:tc>
          <w:tcPr>
            <w:tcW w:w="900" w:type="dxa"/>
            <w:tcBorders>
              <w:bottom w:val="single" w:sz="12" w:space="0" w:color="auto"/>
            </w:tcBorders>
          </w:tcPr>
          <w:p w14:paraId="5ED1F867" w14:textId="1B31C1EA" w:rsidR="00D7330C" w:rsidRPr="00D7330C" w:rsidRDefault="00D7330C" w:rsidP="00A539ED">
            <w:pPr>
              <w:spacing w:after="120"/>
              <w:jc w:val="center"/>
              <w:rPr>
                <w:i/>
                <w:sz w:val="20"/>
              </w:rPr>
            </w:pPr>
            <w:r w:rsidRPr="00D7330C">
              <w:rPr>
                <w:i/>
                <w:sz w:val="20"/>
              </w:rPr>
              <w:t>% Diff</w:t>
            </w:r>
          </w:p>
        </w:tc>
        <w:tc>
          <w:tcPr>
            <w:tcW w:w="810" w:type="dxa"/>
            <w:tcBorders>
              <w:bottom w:val="single" w:sz="12" w:space="0" w:color="auto"/>
            </w:tcBorders>
          </w:tcPr>
          <w:p w14:paraId="4BD5705C" w14:textId="5EE8FD35" w:rsidR="00D7330C" w:rsidRPr="00D7330C" w:rsidRDefault="00D7330C" w:rsidP="00A539ED">
            <w:pPr>
              <w:spacing w:after="120"/>
              <w:jc w:val="center"/>
              <w:rPr>
                <w:i/>
                <w:sz w:val="20"/>
              </w:rPr>
            </w:pPr>
            <w:r w:rsidRPr="00D7330C">
              <w:rPr>
                <w:i/>
                <w:sz w:val="20"/>
              </w:rPr>
              <w:t>n</w:t>
            </w:r>
          </w:p>
        </w:tc>
      </w:tr>
      <w:tr w:rsidR="00F702D6" w14:paraId="21342D2E" w14:textId="77777777" w:rsidTr="00F702D6">
        <w:tc>
          <w:tcPr>
            <w:tcW w:w="1260" w:type="dxa"/>
            <w:shd w:val="clear" w:color="auto" w:fill="FFFFFF" w:themeFill="background1"/>
            <w:vAlign w:val="center"/>
          </w:tcPr>
          <w:p w14:paraId="7B9F6220" w14:textId="35540FFB" w:rsidR="00D7330C" w:rsidRPr="00996D91" w:rsidRDefault="00D7330C" w:rsidP="00996D91">
            <w:pPr>
              <w:spacing w:after="120"/>
              <w:jc w:val="center"/>
              <w:rPr>
                <w:b/>
                <w:sz w:val="20"/>
              </w:rPr>
            </w:pPr>
            <w:r w:rsidRPr="00996D91">
              <w:rPr>
                <w:b/>
                <w:sz w:val="20"/>
              </w:rPr>
              <w:t>GROUP’S OVERALL CCS RATE</w:t>
            </w:r>
          </w:p>
        </w:tc>
        <w:tc>
          <w:tcPr>
            <w:tcW w:w="990" w:type="dxa"/>
            <w:tcBorders>
              <w:top w:val="single" w:sz="4" w:space="0" w:color="auto"/>
            </w:tcBorders>
          </w:tcPr>
          <w:p w14:paraId="3A0ED985" w14:textId="77777777" w:rsidR="00D7330C" w:rsidRPr="00B775DB" w:rsidRDefault="00D7330C" w:rsidP="00A539ED">
            <w:pPr>
              <w:jc w:val="center"/>
              <w:rPr>
                <w:rFonts w:ascii="Calibri" w:hAnsi="Calibri"/>
                <w:color w:val="000000"/>
                <w:sz w:val="20"/>
              </w:rPr>
            </w:pPr>
            <w:r w:rsidRPr="00B775DB">
              <w:rPr>
                <w:rFonts w:ascii="Calibri" w:hAnsi="Calibri"/>
                <w:color w:val="000000"/>
                <w:sz w:val="20"/>
              </w:rPr>
              <w:t>55.33%</w:t>
            </w:r>
          </w:p>
          <w:p w14:paraId="281D0A72" w14:textId="30954FD3" w:rsidR="00D7330C" w:rsidRPr="00B775DB" w:rsidRDefault="00D7330C" w:rsidP="00A539ED">
            <w:pPr>
              <w:jc w:val="center"/>
              <w:rPr>
                <w:rFonts w:ascii="Calibri" w:hAnsi="Calibri"/>
                <w:color w:val="9C0006"/>
                <w:sz w:val="20"/>
              </w:rPr>
            </w:pPr>
          </w:p>
        </w:tc>
        <w:tc>
          <w:tcPr>
            <w:tcW w:w="720" w:type="dxa"/>
            <w:tcBorders>
              <w:top w:val="single" w:sz="4" w:space="0" w:color="auto"/>
            </w:tcBorders>
          </w:tcPr>
          <w:p w14:paraId="2C8465E7" w14:textId="0E626E0D" w:rsidR="00D7330C" w:rsidRPr="00B775DB" w:rsidRDefault="00D7330C" w:rsidP="00A539ED">
            <w:pPr>
              <w:jc w:val="center"/>
              <w:rPr>
                <w:rFonts w:ascii="Calibri" w:hAnsi="Calibri"/>
                <w:color w:val="9C0006"/>
                <w:sz w:val="20"/>
              </w:rPr>
            </w:pPr>
            <w:r w:rsidRPr="00D7330C">
              <w:rPr>
                <w:rFonts w:ascii="Calibri" w:hAnsi="Calibri"/>
                <w:sz w:val="20"/>
              </w:rPr>
              <w:t>3117</w:t>
            </w:r>
          </w:p>
        </w:tc>
        <w:tc>
          <w:tcPr>
            <w:tcW w:w="990" w:type="dxa"/>
            <w:tcBorders>
              <w:top w:val="single" w:sz="4" w:space="0" w:color="auto"/>
            </w:tcBorders>
          </w:tcPr>
          <w:p w14:paraId="3312528C" w14:textId="6A496474" w:rsidR="00D7330C" w:rsidRPr="00B775DB" w:rsidRDefault="00D7330C" w:rsidP="00A539ED">
            <w:pPr>
              <w:spacing w:after="120"/>
              <w:jc w:val="center"/>
              <w:rPr>
                <w:sz w:val="20"/>
              </w:rPr>
            </w:pPr>
            <w:r w:rsidRPr="00B775DB">
              <w:rPr>
                <w:sz w:val="20"/>
              </w:rPr>
              <w:t>70.67</w:t>
            </w:r>
            <w:r w:rsidR="00A539ED">
              <w:rPr>
                <w:sz w:val="20"/>
              </w:rPr>
              <w:t>%</w:t>
            </w:r>
          </w:p>
        </w:tc>
        <w:tc>
          <w:tcPr>
            <w:tcW w:w="720" w:type="dxa"/>
            <w:tcBorders>
              <w:top w:val="single" w:sz="4" w:space="0" w:color="auto"/>
            </w:tcBorders>
          </w:tcPr>
          <w:p w14:paraId="6E46278E" w14:textId="6727A725" w:rsidR="00D7330C" w:rsidRPr="00B775DB" w:rsidRDefault="00D7330C" w:rsidP="00A539ED">
            <w:pPr>
              <w:spacing w:after="120"/>
              <w:jc w:val="center"/>
              <w:rPr>
                <w:sz w:val="20"/>
              </w:rPr>
            </w:pPr>
            <w:r>
              <w:rPr>
                <w:sz w:val="20"/>
              </w:rPr>
              <w:t>1316</w:t>
            </w:r>
          </w:p>
        </w:tc>
        <w:tc>
          <w:tcPr>
            <w:tcW w:w="990" w:type="dxa"/>
            <w:tcBorders>
              <w:top w:val="single" w:sz="4" w:space="0" w:color="auto"/>
            </w:tcBorders>
          </w:tcPr>
          <w:p w14:paraId="55BF4B13" w14:textId="220301B5" w:rsidR="00D7330C" w:rsidRPr="00B775DB" w:rsidRDefault="00D7330C" w:rsidP="00A539ED">
            <w:pPr>
              <w:spacing w:after="120"/>
              <w:jc w:val="center"/>
              <w:rPr>
                <w:sz w:val="20"/>
              </w:rPr>
            </w:pPr>
            <w:r w:rsidRPr="00B775DB">
              <w:rPr>
                <w:sz w:val="20"/>
              </w:rPr>
              <w:t>45.76</w:t>
            </w:r>
            <w:r w:rsidR="00A539ED">
              <w:rPr>
                <w:sz w:val="20"/>
              </w:rPr>
              <w:t>%</w:t>
            </w:r>
          </w:p>
        </w:tc>
        <w:tc>
          <w:tcPr>
            <w:tcW w:w="630" w:type="dxa"/>
            <w:tcBorders>
              <w:top w:val="single" w:sz="4" w:space="0" w:color="auto"/>
            </w:tcBorders>
          </w:tcPr>
          <w:p w14:paraId="14686E38" w14:textId="491A2F58" w:rsidR="00D7330C" w:rsidRPr="00B775DB" w:rsidRDefault="00D7330C" w:rsidP="00A539ED">
            <w:pPr>
              <w:spacing w:after="120"/>
              <w:jc w:val="center"/>
              <w:rPr>
                <w:sz w:val="20"/>
              </w:rPr>
            </w:pPr>
            <w:r>
              <w:rPr>
                <w:sz w:val="20"/>
              </w:rPr>
              <w:t>7587</w:t>
            </w:r>
          </w:p>
        </w:tc>
        <w:tc>
          <w:tcPr>
            <w:tcW w:w="900" w:type="dxa"/>
            <w:tcBorders>
              <w:top w:val="single" w:sz="4" w:space="0" w:color="auto"/>
            </w:tcBorders>
          </w:tcPr>
          <w:p w14:paraId="0D8D43D9" w14:textId="374511B0" w:rsidR="00D7330C" w:rsidRPr="00B775DB" w:rsidRDefault="00D7330C" w:rsidP="00A539ED">
            <w:pPr>
              <w:spacing w:after="120"/>
              <w:jc w:val="center"/>
              <w:rPr>
                <w:sz w:val="20"/>
              </w:rPr>
            </w:pPr>
            <w:r w:rsidRPr="00B775DB">
              <w:rPr>
                <w:sz w:val="20"/>
              </w:rPr>
              <w:t>5</w:t>
            </w:r>
            <w:r>
              <w:rPr>
                <w:sz w:val="20"/>
              </w:rPr>
              <w:t>6</w:t>
            </w:r>
            <w:r w:rsidRPr="00B775DB">
              <w:rPr>
                <w:sz w:val="20"/>
              </w:rPr>
              <w:t>.36</w:t>
            </w:r>
            <w:r w:rsidR="00A539ED">
              <w:rPr>
                <w:sz w:val="20"/>
              </w:rPr>
              <w:t>%</w:t>
            </w:r>
          </w:p>
        </w:tc>
        <w:tc>
          <w:tcPr>
            <w:tcW w:w="630" w:type="dxa"/>
            <w:tcBorders>
              <w:top w:val="single" w:sz="4" w:space="0" w:color="auto"/>
            </w:tcBorders>
          </w:tcPr>
          <w:p w14:paraId="055928F3" w14:textId="4671C533" w:rsidR="00D7330C" w:rsidRPr="00B775DB" w:rsidRDefault="00D7330C" w:rsidP="00A539ED">
            <w:pPr>
              <w:spacing w:after="120"/>
              <w:jc w:val="center"/>
              <w:rPr>
                <w:sz w:val="20"/>
              </w:rPr>
            </w:pPr>
            <w:r>
              <w:rPr>
                <w:sz w:val="20"/>
              </w:rPr>
              <w:t>1597</w:t>
            </w:r>
          </w:p>
        </w:tc>
        <w:tc>
          <w:tcPr>
            <w:tcW w:w="900" w:type="dxa"/>
            <w:tcBorders>
              <w:top w:val="single" w:sz="4" w:space="0" w:color="auto"/>
            </w:tcBorders>
          </w:tcPr>
          <w:p w14:paraId="1EB6C975" w14:textId="6FC4607B" w:rsidR="00D7330C" w:rsidRPr="00B775DB" w:rsidRDefault="00D7330C" w:rsidP="00A539ED">
            <w:pPr>
              <w:spacing w:after="120"/>
              <w:jc w:val="center"/>
              <w:rPr>
                <w:sz w:val="20"/>
              </w:rPr>
            </w:pPr>
            <w:r w:rsidRPr="00B775DB">
              <w:rPr>
                <w:sz w:val="20"/>
              </w:rPr>
              <w:t>68.16</w:t>
            </w:r>
            <w:r w:rsidR="00A539ED">
              <w:rPr>
                <w:sz w:val="20"/>
              </w:rPr>
              <w:t>%</w:t>
            </w:r>
          </w:p>
        </w:tc>
        <w:tc>
          <w:tcPr>
            <w:tcW w:w="810" w:type="dxa"/>
            <w:tcBorders>
              <w:top w:val="single" w:sz="4" w:space="0" w:color="auto"/>
            </w:tcBorders>
          </w:tcPr>
          <w:p w14:paraId="48849425" w14:textId="15A7209A" w:rsidR="00D7330C" w:rsidRPr="00B775DB" w:rsidRDefault="00D7330C" w:rsidP="00A539ED">
            <w:pPr>
              <w:spacing w:after="120"/>
              <w:jc w:val="center"/>
              <w:rPr>
                <w:sz w:val="20"/>
              </w:rPr>
            </w:pPr>
            <w:r>
              <w:rPr>
                <w:sz w:val="20"/>
              </w:rPr>
              <w:t>826</w:t>
            </w:r>
          </w:p>
        </w:tc>
      </w:tr>
      <w:tr w:rsidR="00F702D6" w14:paraId="6CD03D48" w14:textId="77777777" w:rsidTr="00F702D6">
        <w:tc>
          <w:tcPr>
            <w:tcW w:w="1260" w:type="dxa"/>
            <w:shd w:val="clear" w:color="auto" w:fill="FFFFFF" w:themeFill="background1"/>
            <w:vAlign w:val="center"/>
          </w:tcPr>
          <w:p w14:paraId="1723E864" w14:textId="6798ADD9" w:rsidR="00D7330C" w:rsidRPr="00996D91" w:rsidRDefault="00D7330C" w:rsidP="00996D91">
            <w:pPr>
              <w:spacing w:after="120"/>
              <w:jc w:val="center"/>
              <w:rPr>
                <w:b/>
                <w:sz w:val="20"/>
              </w:rPr>
            </w:pPr>
            <w:r w:rsidRPr="00996D91">
              <w:rPr>
                <w:b/>
                <w:sz w:val="20"/>
              </w:rPr>
              <w:t>ASIAN/ PACIFIC ISLANDER</w:t>
            </w:r>
          </w:p>
        </w:tc>
        <w:tc>
          <w:tcPr>
            <w:tcW w:w="990" w:type="dxa"/>
          </w:tcPr>
          <w:p w14:paraId="06E59517" w14:textId="77777777" w:rsidR="00D7330C" w:rsidRPr="00B775DB" w:rsidRDefault="00D7330C" w:rsidP="00A539ED">
            <w:pPr>
              <w:jc w:val="center"/>
              <w:rPr>
                <w:rFonts w:ascii="Calibri" w:hAnsi="Calibri"/>
                <w:color w:val="000000"/>
                <w:sz w:val="20"/>
              </w:rPr>
            </w:pPr>
            <w:r w:rsidRPr="00B775DB">
              <w:rPr>
                <w:rFonts w:ascii="Calibri" w:hAnsi="Calibri"/>
                <w:color w:val="000000"/>
                <w:sz w:val="20"/>
              </w:rPr>
              <w:t>3.98%</w:t>
            </w:r>
          </w:p>
          <w:p w14:paraId="21BD6AF1" w14:textId="77777777" w:rsidR="00D7330C" w:rsidRPr="00B775DB" w:rsidRDefault="00D7330C" w:rsidP="00A539ED">
            <w:pPr>
              <w:jc w:val="center"/>
              <w:rPr>
                <w:rFonts w:ascii="Calibri" w:hAnsi="Calibri"/>
                <w:color w:val="000000"/>
                <w:sz w:val="20"/>
              </w:rPr>
            </w:pPr>
          </w:p>
        </w:tc>
        <w:tc>
          <w:tcPr>
            <w:tcW w:w="720" w:type="dxa"/>
          </w:tcPr>
          <w:p w14:paraId="57970810" w14:textId="113622BF" w:rsidR="00D7330C" w:rsidRPr="00B775DB" w:rsidRDefault="00D7330C" w:rsidP="00A539ED">
            <w:pPr>
              <w:jc w:val="center"/>
              <w:rPr>
                <w:rFonts w:ascii="Calibri" w:hAnsi="Calibri"/>
                <w:sz w:val="20"/>
              </w:rPr>
            </w:pPr>
            <w:r w:rsidRPr="00B775DB">
              <w:rPr>
                <w:rFonts w:ascii="Calibri" w:hAnsi="Calibri"/>
                <w:sz w:val="20"/>
              </w:rPr>
              <w:t>2594</w:t>
            </w:r>
          </w:p>
        </w:tc>
        <w:tc>
          <w:tcPr>
            <w:tcW w:w="990" w:type="dxa"/>
          </w:tcPr>
          <w:p w14:paraId="6981C2F3" w14:textId="774434EB" w:rsidR="00D7330C" w:rsidRPr="00B775DB" w:rsidRDefault="00D7330C" w:rsidP="00A539ED">
            <w:pPr>
              <w:spacing w:after="120"/>
              <w:jc w:val="center"/>
              <w:rPr>
                <w:sz w:val="20"/>
              </w:rPr>
            </w:pPr>
            <w:r w:rsidRPr="00B775DB">
              <w:rPr>
                <w:sz w:val="20"/>
              </w:rPr>
              <w:t>1.70%</w:t>
            </w:r>
          </w:p>
        </w:tc>
        <w:tc>
          <w:tcPr>
            <w:tcW w:w="720" w:type="dxa"/>
          </w:tcPr>
          <w:p w14:paraId="581D2F71" w14:textId="0EAF0C97" w:rsidR="00D7330C" w:rsidRPr="00B775DB" w:rsidRDefault="00D7330C" w:rsidP="00A539ED">
            <w:pPr>
              <w:spacing w:after="120"/>
              <w:jc w:val="center"/>
              <w:rPr>
                <w:sz w:val="20"/>
              </w:rPr>
            </w:pPr>
            <w:r>
              <w:rPr>
                <w:sz w:val="20"/>
              </w:rPr>
              <w:t>1158</w:t>
            </w:r>
          </w:p>
        </w:tc>
        <w:tc>
          <w:tcPr>
            <w:tcW w:w="990" w:type="dxa"/>
          </w:tcPr>
          <w:p w14:paraId="0C970D87" w14:textId="77777777" w:rsidR="00D7330C" w:rsidRPr="00B775DB" w:rsidRDefault="00D7330C" w:rsidP="00A539ED">
            <w:pPr>
              <w:jc w:val="center"/>
              <w:rPr>
                <w:rFonts w:ascii="Calibri" w:hAnsi="Calibri"/>
                <w:color w:val="000000"/>
                <w:sz w:val="20"/>
              </w:rPr>
            </w:pPr>
            <w:r w:rsidRPr="00B775DB">
              <w:rPr>
                <w:rFonts w:ascii="Calibri" w:hAnsi="Calibri"/>
                <w:color w:val="000000"/>
                <w:sz w:val="20"/>
              </w:rPr>
              <w:t>2.82%</w:t>
            </w:r>
          </w:p>
          <w:p w14:paraId="6FDC38A9" w14:textId="7D6D05B9" w:rsidR="00D7330C" w:rsidRPr="00B775DB" w:rsidRDefault="00D7330C" w:rsidP="00A539ED">
            <w:pPr>
              <w:spacing w:after="120"/>
              <w:jc w:val="center"/>
              <w:rPr>
                <w:sz w:val="20"/>
              </w:rPr>
            </w:pPr>
          </w:p>
        </w:tc>
        <w:tc>
          <w:tcPr>
            <w:tcW w:w="630" w:type="dxa"/>
          </w:tcPr>
          <w:p w14:paraId="72B1F5E3" w14:textId="19EE9D42" w:rsidR="00D7330C" w:rsidRPr="00B775DB" w:rsidRDefault="00D7330C" w:rsidP="00A539ED">
            <w:pPr>
              <w:spacing w:after="120"/>
              <w:jc w:val="center"/>
              <w:rPr>
                <w:sz w:val="20"/>
              </w:rPr>
            </w:pPr>
            <w:r w:rsidRPr="00B775DB">
              <w:rPr>
                <w:sz w:val="20"/>
              </w:rPr>
              <w:t>2262</w:t>
            </w:r>
          </w:p>
        </w:tc>
        <w:tc>
          <w:tcPr>
            <w:tcW w:w="900" w:type="dxa"/>
          </w:tcPr>
          <w:p w14:paraId="1AF21AC5" w14:textId="6741D49C" w:rsidR="00D7330C" w:rsidRPr="00B775DB" w:rsidRDefault="00D7330C" w:rsidP="00A539ED">
            <w:pPr>
              <w:spacing w:after="120"/>
              <w:jc w:val="center"/>
              <w:rPr>
                <w:sz w:val="20"/>
              </w:rPr>
            </w:pPr>
            <w:r w:rsidRPr="00B775DB">
              <w:rPr>
                <w:sz w:val="20"/>
              </w:rPr>
              <w:t>3.10%</w:t>
            </w:r>
          </w:p>
        </w:tc>
        <w:tc>
          <w:tcPr>
            <w:tcW w:w="630" w:type="dxa"/>
          </w:tcPr>
          <w:p w14:paraId="3032FEA0" w14:textId="63864328" w:rsidR="00D7330C" w:rsidRPr="00B775DB" w:rsidRDefault="00D7330C" w:rsidP="00A539ED">
            <w:pPr>
              <w:spacing w:after="120"/>
              <w:jc w:val="center"/>
              <w:rPr>
                <w:sz w:val="20"/>
              </w:rPr>
            </w:pPr>
            <w:r>
              <w:rPr>
                <w:sz w:val="20"/>
              </w:rPr>
              <w:t>370</w:t>
            </w:r>
          </w:p>
        </w:tc>
        <w:tc>
          <w:tcPr>
            <w:tcW w:w="900" w:type="dxa"/>
          </w:tcPr>
          <w:p w14:paraId="704EF543" w14:textId="550B61AC" w:rsidR="00D7330C" w:rsidRPr="00B775DB" w:rsidRDefault="00D7330C" w:rsidP="00A539ED">
            <w:pPr>
              <w:spacing w:after="120"/>
              <w:jc w:val="center"/>
              <w:rPr>
                <w:sz w:val="20"/>
              </w:rPr>
            </w:pPr>
            <w:r w:rsidRPr="00B775DB">
              <w:rPr>
                <w:color w:val="FF0000"/>
                <w:sz w:val="20"/>
              </w:rPr>
              <w:t>-9.39%</w:t>
            </w:r>
          </w:p>
        </w:tc>
        <w:tc>
          <w:tcPr>
            <w:tcW w:w="810" w:type="dxa"/>
          </w:tcPr>
          <w:p w14:paraId="2F5F0F07" w14:textId="30AEE917" w:rsidR="00D7330C" w:rsidRPr="00B775DB" w:rsidRDefault="00D7330C" w:rsidP="00A539ED">
            <w:pPr>
              <w:spacing w:after="120"/>
              <w:jc w:val="center"/>
              <w:rPr>
                <w:sz w:val="20"/>
              </w:rPr>
            </w:pPr>
            <w:r>
              <w:rPr>
                <w:sz w:val="20"/>
              </w:rPr>
              <w:t>228</w:t>
            </w:r>
          </w:p>
        </w:tc>
      </w:tr>
      <w:tr w:rsidR="00F702D6" w14:paraId="4E8677CE" w14:textId="77777777" w:rsidTr="00F702D6">
        <w:tc>
          <w:tcPr>
            <w:tcW w:w="1260" w:type="dxa"/>
            <w:shd w:val="clear" w:color="auto" w:fill="FFFFFF" w:themeFill="background1"/>
            <w:vAlign w:val="center"/>
          </w:tcPr>
          <w:p w14:paraId="10EF6250" w14:textId="7B1FB674" w:rsidR="00D7330C" w:rsidRPr="00996D91" w:rsidRDefault="00D7330C" w:rsidP="00996D91">
            <w:pPr>
              <w:spacing w:after="120"/>
              <w:jc w:val="center"/>
              <w:rPr>
                <w:b/>
                <w:sz w:val="20"/>
              </w:rPr>
            </w:pPr>
            <w:r w:rsidRPr="00996D91">
              <w:rPr>
                <w:b/>
                <w:sz w:val="20"/>
              </w:rPr>
              <w:t>AFRICAN AMERICAN</w:t>
            </w:r>
          </w:p>
        </w:tc>
        <w:tc>
          <w:tcPr>
            <w:tcW w:w="990" w:type="dxa"/>
          </w:tcPr>
          <w:p w14:paraId="082DBEC2" w14:textId="15EB6F47" w:rsidR="00D7330C" w:rsidRPr="00B775DB" w:rsidRDefault="00D7330C" w:rsidP="00A539ED">
            <w:pPr>
              <w:jc w:val="center"/>
              <w:rPr>
                <w:rFonts w:ascii="Calibri" w:hAnsi="Calibri"/>
                <w:color w:val="FF0000"/>
                <w:sz w:val="20"/>
              </w:rPr>
            </w:pPr>
            <w:r>
              <w:rPr>
                <w:rFonts w:ascii="Calibri" w:hAnsi="Calibri"/>
                <w:color w:val="FF0000"/>
                <w:sz w:val="20"/>
              </w:rPr>
              <w:t>-</w:t>
            </w:r>
            <w:r w:rsidRPr="00B775DB">
              <w:rPr>
                <w:rFonts w:ascii="Calibri" w:hAnsi="Calibri"/>
                <w:color w:val="FF0000"/>
                <w:sz w:val="20"/>
              </w:rPr>
              <w:t>21.68%</w:t>
            </w:r>
            <w:r w:rsidR="00F702D6">
              <w:rPr>
                <w:rFonts w:ascii="Calibri" w:hAnsi="Calibri"/>
                <w:color w:val="FF0000"/>
                <w:sz w:val="20"/>
              </w:rPr>
              <w:t>*</w:t>
            </w:r>
          </w:p>
        </w:tc>
        <w:tc>
          <w:tcPr>
            <w:tcW w:w="720" w:type="dxa"/>
          </w:tcPr>
          <w:p w14:paraId="4A9B41B2" w14:textId="3FF931B3" w:rsidR="00D7330C" w:rsidRPr="00B775DB" w:rsidRDefault="00D7330C" w:rsidP="00A539ED">
            <w:pPr>
              <w:jc w:val="center"/>
              <w:rPr>
                <w:rFonts w:ascii="Calibri" w:hAnsi="Calibri"/>
                <w:sz w:val="20"/>
              </w:rPr>
            </w:pPr>
            <w:r w:rsidRPr="00B775DB">
              <w:rPr>
                <w:rFonts w:ascii="Calibri" w:hAnsi="Calibri"/>
                <w:sz w:val="20"/>
              </w:rPr>
              <w:t>116</w:t>
            </w:r>
          </w:p>
        </w:tc>
        <w:tc>
          <w:tcPr>
            <w:tcW w:w="990" w:type="dxa"/>
          </w:tcPr>
          <w:p w14:paraId="1E796282" w14:textId="66F64AD4" w:rsidR="00D7330C" w:rsidRPr="00B775DB" w:rsidRDefault="00D7330C" w:rsidP="00A539ED">
            <w:pPr>
              <w:jc w:val="center"/>
              <w:rPr>
                <w:rFonts w:ascii="Calibri" w:hAnsi="Calibri"/>
                <w:color w:val="000000"/>
                <w:sz w:val="20"/>
              </w:rPr>
            </w:pPr>
            <w:r w:rsidRPr="00B775DB">
              <w:rPr>
                <w:color w:val="FF0000"/>
                <w:sz w:val="20"/>
              </w:rPr>
              <w:t>-47.94%</w:t>
            </w:r>
            <w:r w:rsidR="00F702D6">
              <w:rPr>
                <w:color w:val="FF0000"/>
                <w:sz w:val="20"/>
              </w:rPr>
              <w:t>*</w:t>
            </w:r>
          </w:p>
        </w:tc>
        <w:tc>
          <w:tcPr>
            <w:tcW w:w="720" w:type="dxa"/>
          </w:tcPr>
          <w:p w14:paraId="41343111" w14:textId="6F59E007" w:rsidR="00D7330C" w:rsidRPr="00B775DB" w:rsidRDefault="00D7330C" w:rsidP="00A539ED">
            <w:pPr>
              <w:jc w:val="center"/>
              <w:rPr>
                <w:sz w:val="20"/>
              </w:rPr>
            </w:pPr>
            <w:r>
              <w:rPr>
                <w:sz w:val="20"/>
              </w:rPr>
              <w:t>22</w:t>
            </w:r>
          </w:p>
        </w:tc>
        <w:tc>
          <w:tcPr>
            <w:tcW w:w="990" w:type="dxa"/>
          </w:tcPr>
          <w:p w14:paraId="263BDF43" w14:textId="72139CB4" w:rsidR="00D7330C" w:rsidRPr="00B775DB" w:rsidRDefault="00D7330C" w:rsidP="00A539ED">
            <w:pPr>
              <w:spacing w:after="120"/>
              <w:jc w:val="center"/>
              <w:rPr>
                <w:color w:val="FF0000"/>
                <w:sz w:val="20"/>
              </w:rPr>
            </w:pPr>
            <w:r w:rsidRPr="00B775DB">
              <w:rPr>
                <w:rFonts w:ascii="Calibri" w:hAnsi="Calibri"/>
                <w:color w:val="000000"/>
                <w:sz w:val="20"/>
              </w:rPr>
              <w:t>-0.64%</w:t>
            </w:r>
          </w:p>
        </w:tc>
        <w:tc>
          <w:tcPr>
            <w:tcW w:w="630" w:type="dxa"/>
          </w:tcPr>
          <w:p w14:paraId="0A4B2621" w14:textId="756F9A47" w:rsidR="00D7330C" w:rsidRPr="00B775DB" w:rsidRDefault="00D7330C" w:rsidP="00A539ED">
            <w:pPr>
              <w:spacing w:after="120"/>
              <w:jc w:val="center"/>
              <w:rPr>
                <w:sz w:val="20"/>
              </w:rPr>
            </w:pPr>
            <w:r w:rsidRPr="00B775DB">
              <w:rPr>
                <w:sz w:val="20"/>
              </w:rPr>
              <w:t>1547</w:t>
            </w:r>
          </w:p>
        </w:tc>
        <w:tc>
          <w:tcPr>
            <w:tcW w:w="900" w:type="dxa"/>
          </w:tcPr>
          <w:p w14:paraId="440911DD" w14:textId="67E5281D" w:rsidR="00D7330C" w:rsidRPr="00B775DB" w:rsidRDefault="00D7330C" w:rsidP="00A539ED">
            <w:pPr>
              <w:spacing w:after="120"/>
              <w:jc w:val="center"/>
              <w:rPr>
                <w:sz w:val="20"/>
              </w:rPr>
            </w:pPr>
            <w:r w:rsidRPr="00B775DB">
              <w:rPr>
                <w:sz w:val="20"/>
              </w:rPr>
              <w:t>0.82%</w:t>
            </w:r>
          </w:p>
        </w:tc>
        <w:tc>
          <w:tcPr>
            <w:tcW w:w="630" w:type="dxa"/>
          </w:tcPr>
          <w:p w14:paraId="00028860" w14:textId="5D40D5F2" w:rsidR="00D7330C" w:rsidRPr="00B775DB" w:rsidRDefault="00D7330C" w:rsidP="00A539ED">
            <w:pPr>
              <w:spacing w:after="120"/>
              <w:jc w:val="center"/>
              <w:rPr>
                <w:sz w:val="20"/>
              </w:rPr>
            </w:pPr>
            <w:r>
              <w:rPr>
                <w:sz w:val="20"/>
              </w:rPr>
              <w:t>488</w:t>
            </w:r>
          </w:p>
        </w:tc>
        <w:tc>
          <w:tcPr>
            <w:tcW w:w="900" w:type="dxa"/>
          </w:tcPr>
          <w:p w14:paraId="313FE712" w14:textId="3806AB31" w:rsidR="00D7330C" w:rsidRPr="00B775DB" w:rsidRDefault="00D7330C" w:rsidP="00A539ED">
            <w:pPr>
              <w:spacing w:after="120"/>
              <w:jc w:val="center"/>
              <w:rPr>
                <w:sz w:val="20"/>
              </w:rPr>
            </w:pPr>
            <w:r w:rsidRPr="00B775DB">
              <w:rPr>
                <w:sz w:val="20"/>
              </w:rPr>
              <w:t>9.45%</w:t>
            </w:r>
          </w:p>
        </w:tc>
        <w:tc>
          <w:tcPr>
            <w:tcW w:w="810" w:type="dxa"/>
          </w:tcPr>
          <w:p w14:paraId="7C3669D1" w14:textId="72E23C7B" w:rsidR="00D7330C" w:rsidRPr="00B775DB" w:rsidRDefault="00D7330C" w:rsidP="00A539ED">
            <w:pPr>
              <w:spacing w:after="120"/>
              <w:jc w:val="center"/>
              <w:rPr>
                <w:sz w:val="20"/>
              </w:rPr>
            </w:pPr>
            <w:r>
              <w:rPr>
                <w:sz w:val="20"/>
              </w:rPr>
              <w:t>201</w:t>
            </w:r>
          </w:p>
        </w:tc>
      </w:tr>
      <w:tr w:rsidR="00F702D6" w14:paraId="3DB532C9" w14:textId="77777777" w:rsidTr="00F702D6">
        <w:tc>
          <w:tcPr>
            <w:tcW w:w="1260" w:type="dxa"/>
            <w:shd w:val="clear" w:color="auto" w:fill="FFFFFF" w:themeFill="background1"/>
            <w:vAlign w:val="center"/>
          </w:tcPr>
          <w:p w14:paraId="17AEEB49" w14:textId="78859435" w:rsidR="00D7330C" w:rsidRPr="000814FB" w:rsidRDefault="00081A1E" w:rsidP="00A539ED">
            <w:pPr>
              <w:spacing w:after="120"/>
              <w:jc w:val="center"/>
              <w:rPr>
                <w:b/>
                <w:sz w:val="20"/>
                <w:vertAlign w:val="superscript"/>
              </w:rPr>
            </w:pPr>
            <w:r>
              <w:rPr>
                <w:b/>
                <w:sz w:val="20"/>
              </w:rPr>
              <w:t>LATIN@</w:t>
            </w:r>
            <w:r w:rsidR="000814FB">
              <w:rPr>
                <w:b/>
                <w:sz w:val="20"/>
                <w:vertAlign w:val="superscript"/>
              </w:rPr>
              <w:t>5</w:t>
            </w:r>
          </w:p>
        </w:tc>
        <w:tc>
          <w:tcPr>
            <w:tcW w:w="990" w:type="dxa"/>
          </w:tcPr>
          <w:p w14:paraId="3D8B3ED6" w14:textId="39C68F2F" w:rsidR="00D7330C" w:rsidRPr="00B775DB" w:rsidRDefault="00D7330C" w:rsidP="00A539ED">
            <w:pPr>
              <w:jc w:val="center"/>
              <w:rPr>
                <w:rFonts w:ascii="Calibri" w:hAnsi="Calibri"/>
                <w:color w:val="FF0000"/>
                <w:sz w:val="20"/>
              </w:rPr>
            </w:pPr>
            <w:r>
              <w:rPr>
                <w:rFonts w:ascii="Calibri" w:hAnsi="Calibri"/>
                <w:color w:val="FF0000"/>
                <w:sz w:val="20"/>
              </w:rPr>
              <w:t>-</w:t>
            </w:r>
            <w:r w:rsidRPr="00B775DB">
              <w:rPr>
                <w:rFonts w:ascii="Calibri" w:hAnsi="Calibri"/>
                <w:color w:val="FF0000"/>
                <w:sz w:val="20"/>
              </w:rPr>
              <w:t>9.40%</w:t>
            </w:r>
            <w:r w:rsidR="00F702D6">
              <w:rPr>
                <w:rFonts w:ascii="Calibri" w:hAnsi="Calibri"/>
                <w:color w:val="FF0000"/>
                <w:sz w:val="20"/>
              </w:rPr>
              <w:t>*</w:t>
            </w:r>
          </w:p>
        </w:tc>
        <w:tc>
          <w:tcPr>
            <w:tcW w:w="720" w:type="dxa"/>
          </w:tcPr>
          <w:p w14:paraId="2C851401" w14:textId="24849E06" w:rsidR="00D7330C" w:rsidRPr="00B775DB" w:rsidRDefault="00D7330C" w:rsidP="00A539ED">
            <w:pPr>
              <w:jc w:val="center"/>
              <w:rPr>
                <w:rFonts w:ascii="Calibri" w:hAnsi="Calibri"/>
                <w:sz w:val="20"/>
              </w:rPr>
            </w:pPr>
            <w:r w:rsidRPr="00B775DB">
              <w:rPr>
                <w:rFonts w:ascii="Calibri" w:hAnsi="Calibri"/>
                <w:sz w:val="20"/>
              </w:rPr>
              <w:t>69</w:t>
            </w:r>
          </w:p>
        </w:tc>
        <w:tc>
          <w:tcPr>
            <w:tcW w:w="990" w:type="dxa"/>
          </w:tcPr>
          <w:p w14:paraId="59239B7F" w14:textId="75C85966" w:rsidR="00D7330C" w:rsidRPr="00B775DB" w:rsidRDefault="00D7330C" w:rsidP="00F702D6">
            <w:pPr>
              <w:jc w:val="center"/>
              <w:rPr>
                <w:rFonts w:ascii="Calibri" w:hAnsi="Calibri"/>
                <w:color w:val="000000"/>
                <w:sz w:val="20"/>
              </w:rPr>
            </w:pPr>
            <w:r w:rsidRPr="00B775DB">
              <w:rPr>
                <w:color w:val="FF0000"/>
                <w:sz w:val="20"/>
              </w:rPr>
              <w:t>-15.11%</w:t>
            </w:r>
          </w:p>
        </w:tc>
        <w:tc>
          <w:tcPr>
            <w:tcW w:w="720" w:type="dxa"/>
          </w:tcPr>
          <w:p w14:paraId="085D44F5" w14:textId="6AE60530" w:rsidR="00D7330C" w:rsidRPr="00B775DB" w:rsidRDefault="00D7330C" w:rsidP="00A539ED">
            <w:pPr>
              <w:spacing w:after="120"/>
              <w:jc w:val="center"/>
              <w:rPr>
                <w:sz w:val="20"/>
              </w:rPr>
            </w:pPr>
            <w:r>
              <w:rPr>
                <w:sz w:val="20"/>
              </w:rPr>
              <w:t>9</w:t>
            </w:r>
          </w:p>
        </w:tc>
        <w:tc>
          <w:tcPr>
            <w:tcW w:w="990" w:type="dxa"/>
          </w:tcPr>
          <w:p w14:paraId="321E643F" w14:textId="557E7D6B" w:rsidR="00D7330C" w:rsidRPr="00B775DB" w:rsidRDefault="00D7330C" w:rsidP="00A539ED">
            <w:pPr>
              <w:spacing w:after="120"/>
              <w:jc w:val="center"/>
              <w:rPr>
                <w:color w:val="FF0000"/>
                <w:sz w:val="20"/>
              </w:rPr>
            </w:pPr>
            <w:r w:rsidRPr="00B775DB">
              <w:rPr>
                <w:rFonts w:ascii="Calibri" w:hAnsi="Calibri"/>
                <w:color w:val="000000"/>
                <w:sz w:val="20"/>
              </w:rPr>
              <w:t>4.79%</w:t>
            </w:r>
          </w:p>
        </w:tc>
        <w:tc>
          <w:tcPr>
            <w:tcW w:w="630" w:type="dxa"/>
          </w:tcPr>
          <w:p w14:paraId="7D2B0F44" w14:textId="709E53CD" w:rsidR="00D7330C" w:rsidRPr="00B775DB" w:rsidRDefault="00D7330C" w:rsidP="00A539ED">
            <w:pPr>
              <w:spacing w:after="120"/>
              <w:jc w:val="center"/>
              <w:rPr>
                <w:sz w:val="20"/>
              </w:rPr>
            </w:pPr>
            <w:r w:rsidRPr="00B775DB">
              <w:rPr>
                <w:sz w:val="20"/>
              </w:rPr>
              <w:t>1547</w:t>
            </w:r>
          </w:p>
        </w:tc>
        <w:tc>
          <w:tcPr>
            <w:tcW w:w="900" w:type="dxa"/>
          </w:tcPr>
          <w:p w14:paraId="551D2EE9" w14:textId="03309B18" w:rsidR="00D7330C" w:rsidRPr="00B775DB" w:rsidRDefault="00D7330C" w:rsidP="00A539ED">
            <w:pPr>
              <w:spacing w:after="120"/>
              <w:jc w:val="center"/>
              <w:rPr>
                <w:sz w:val="20"/>
              </w:rPr>
            </w:pPr>
            <w:r w:rsidRPr="00B775DB">
              <w:rPr>
                <w:sz w:val="20"/>
              </w:rPr>
              <w:t>-2.21%</w:t>
            </w:r>
          </w:p>
        </w:tc>
        <w:tc>
          <w:tcPr>
            <w:tcW w:w="630" w:type="dxa"/>
          </w:tcPr>
          <w:p w14:paraId="77F5A09B" w14:textId="5F0AEBAC" w:rsidR="00D7330C" w:rsidRPr="00B775DB" w:rsidRDefault="00D7330C" w:rsidP="00A539ED">
            <w:pPr>
              <w:spacing w:after="120"/>
              <w:jc w:val="center"/>
              <w:rPr>
                <w:sz w:val="20"/>
              </w:rPr>
            </w:pPr>
            <w:r>
              <w:rPr>
                <w:sz w:val="20"/>
              </w:rPr>
              <w:t>205</w:t>
            </w:r>
          </w:p>
        </w:tc>
        <w:tc>
          <w:tcPr>
            <w:tcW w:w="900" w:type="dxa"/>
          </w:tcPr>
          <w:p w14:paraId="72302387" w14:textId="34BBA5F2" w:rsidR="00D7330C" w:rsidRPr="00B775DB" w:rsidRDefault="00D7330C" w:rsidP="00A539ED">
            <w:pPr>
              <w:spacing w:after="120"/>
              <w:jc w:val="center"/>
              <w:rPr>
                <w:sz w:val="20"/>
              </w:rPr>
            </w:pPr>
            <w:r w:rsidRPr="00B775DB">
              <w:rPr>
                <w:sz w:val="20"/>
              </w:rPr>
              <w:t>4.57%</w:t>
            </w:r>
          </w:p>
        </w:tc>
        <w:tc>
          <w:tcPr>
            <w:tcW w:w="810" w:type="dxa"/>
          </w:tcPr>
          <w:p w14:paraId="251F52B8" w14:textId="1DDA162C" w:rsidR="00D7330C" w:rsidRPr="00B775DB" w:rsidRDefault="00D7330C" w:rsidP="00A539ED">
            <w:pPr>
              <w:spacing w:after="120"/>
              <w:jc w:val="center"/>
              <w:rPr>
                <w:sz w:val="20"/>
              </w:rPr>
            </w:pPr>
            <w:r>
              <w:rPr>
                <w:sz w:val="20"/>
              </w:rPr>
              <w:t>165</w:t>
            </w:r>
          </w:p>
        </w:tc>
      </w:tr>
      <w:tr w:rsidR="00F702D6" w14:paraId="7380F08B" w14:textId="77777777" w:rsidTr="00F702D6">
        <w:tc>
          <w:tcPr>
            <w:tcW w:w="1260" w:type="dxa"/>
            <w:shd w:val="clear" w:color="auto" w:fill="FFFFFF" w:themeFill="background1"/>
            <w:vAlign w:val="center"/>
          </w:tcPr>
          <w:p w14:paraId="66F7A65F" w14:textId="169BCAD9" w:rsidR="00D7330C" w:rsidRPr="00996D91" w:rsidRDefault="00244C0C" w:rsidP="00244C0C">
            <w:pPr>
              <w:spacing w:after="120"/>
              <w:jc w:val="center"/>
              <w:rPr>
                <w:b/>
                <w:sz w:val="20"/>
              </w:rPr>
            </w:pPr>
            <w:r>
              <w:rPr>
                <w:b/>
                <w:sz w:val="20"/>
              </w:rPr>
              <w:t>CAUCASIAN</w:t>
            </w:r>
          </w:p>
        </w:tc>
        <w:tc>
          <w:tcPr>
            <w:tcW w:w="990" w:type="dxa"/>
          </w:tcPr>
          <w:p w14:paraId="46F23273" w14:textId="3A94A50F" w:rsidR="00D7330C" w:rsidRPr="00B775DB" w:rsidRDefault="00D7330C" w:rsidP="00A539ED">
            <w:pPr>
              <w:jc w:val="center"/>
              <w:rPr>
                <w:rFonts w:ascii="Calibri" w:hAnsi="Calibri"/>
                <w:color w:val="FF0000"/>
                <w:sz w:val="20"/>
              </w:rPr>
            </w:pPr>
            <w:r>
              <w:rPr>
                <w:rFonts w:ascii="Calibri" w:hAnsi="Calibri"/>
                <w:color w:val="FF0000"/>
                <w:sz w:val="20"/>
              </w:rPr>
              <w:t>-</w:t>
            </w:r>
            <w:r w:rsidRPr="00B775DB">
              <w:rPr>
                <w:rFonts w:ascii="Calibri" w:hAnsi="Calibri"/>
                <w:color w:val="FF0000"/>
                <w:sz w:val="20"/>
              </w:rPr>
              <w:t>29.62%</w:t>
            </w:r>
            <w:r w:rsidR="00F702D6">
              <w:rPr>
                <w:rFonts w:ascii="Calibri" w:hAnsi="Calibri"/>
                <w:color w:val="FF0000"/>
                <w:sz w:val="20"/>
              </w:rPr>
              <w:t>*</w:t>
            </w:r>
          </w:p>
        </w:tc>
        <w:tc>
          <w:tcPr>
            <w:tcW w:w="720" w:type="dxa"/>
          </w:tcPr>
          <w:p w14:paraId="45B67D01" w14:textId="0EAF031B" w:rsidR="00D7330C" w:rsidRPr="00B775DB" w:rsidRDefault="00D7330C" w:rsidP="00A539ED">
            <w:pPr>
              <w:jc w:val="center"/>
              <w:rPr>
                <w:rFonts w:ascii="Calibri" w:hAnsi="Calibri"/>
                <w:sz w:val="20"/>
              </w:rPr>
            </w:pPr>
            <w:r w:rsidRPr="00B775DB">
              <w:rPr>
                <w:rFonts w:ascii="Calibri" w:hAnsi="Calibri"/>
                <w:sz w:val="20"/>
              </w:rPr>
              <w:t>98</w:t>
            </w:r>
          </w:p>
        </w:tc>
        <w:tc>
          <w:tcPr>
            <w:tcW w:w="990" w:type="dxa"/>
          </w:tcPr>
          <w:p w14:paraId="64FD86CB" w14:textId="14339017" w:rsidR="00D7330C" w:rsidRPr="00B775DB" w:rsidRDefault="00D7330C" w:rsidP="00A539ED">
            <w:pPr>
              <w:jc w:val="center"/>
              <w:rPr>
                <w:rFonts w:ascii="Calibri" w:hAnsi="Calibri"/>
                <w:color w:val="9C0006"/>
                <w:sz w:val="20"/>
              </w:rPr>
            </w:pPr>
            <w:r w:rsidRPr="00B775DB">
              <w:rPr>
                <w:color w:val="FF0000"/>
                <w:sz w:val="20"/>
              </w:rPr>
              <w:t>-27.81%</w:t>
            </w:r>
            <w:r w:rsidR="00F702D6">
              <w:rPr>
                <w:color w:val="FF0000"/>
                <w:sz w:val="20"/>
              </w:rPr>
              <w:t>*</w:t>
            </w:r>
          </w:p>
        </w:tc>
        <w:tc>
          <w:tcPr>
            <w:tcW w:w="720" w:type="dxa"/>
          </w:tcPr>
          <w:p w14:paraId="04E657D3" w14:textId="6729B781" w:rsidR="00D7330C" w:rsidRPr="00B775DB" w:rsidRDefault="00D7330C" w:rsidP="00A539ED">
            <w:pPr>
              <w:spacing w:after="120"/>
              <w:jc w:val="center"/>
              <w:rPr>
                <w:sz w:val="20"/>
              </w:rPr>
            </w:pPr>
            <w:r>
              <w:rPr>
                <w:sz w:val="20"/>
              </w:rPr>
              <w:t>28</w:t>
            </w:r>
          </w:p>
        </w:tc>
        <w:tc>
          <w:tcPr>
            <w:tcW w:w="990" w:type="dxa"/>
          </w:tcPr>
          <w:p w14:paraId="4642C3DB" w14:textId="347A3174" w:rsidR="00D7330C" w:rsidRPr="00B775DB" w:rsidRDefault="00D7330C" w:rsidP="00A539ED">
            <w:pPr>
              <w:spacing w:after="120"/>
              <w:jc w:val="center"/>
              <w:rPr>
                <w:color w:val="FF0000"/>
                <w:sz w:val="20"/>
              </w:rPr>
            </w:pPr>
            <w:r w:rsidRPr="00B775DB">
              <w:rPr>
                <w:rFonts w:ascii="Calibri" w:hAnsi="Calibri"/>
                <w:color w:val="FF0000"/>
                <w:sz w:val="20"/>
              </w:rPr>
              <w:t>-12.13%</w:t>
            </w:r>
            <w:r w:rsidR="00F702D6">
              <w:rPr>
                <w:rFonts w:ascii="Calibri" w:hAnsi="Calibri"/>
                <w:color w:val="FF0000"/>
                <w:sz w:val="20"/>
              </w:rPr>
              <w:t>*</w:t>
            </w:r>
          </w:p>
        </w:tc>
        <w:tc>
          <w:tcPr>
            <w:tcW w:w="630" w:type="dxa"/>
          </w:tcPr>
          <w:p w14:paraId="13C3DF92" w14:textId="308208F7" w:rsidR="00D7330C" w:rsidRPr="00B775DB" w:rsidRDefault="00D7330C" w:rsidP="00A539ED">
            <w:pPr>
              <w:spacing w:after="120"/>
              <w:jc w:val="center"/>
              <w:rPr>
                <w:sz w:val="20"/>
              </w:rPr>
            </w:pPr>
            <w:r w:rsidRPr="00B775DB">
              <w:rPr>
                <w:sz w:val="20"/>
              </w:rPr>
              <w:t>1118</w:t>
            </w:r>
          </w:p>
        </w:tc>
        <w:tc>
          <w:tcPr>
            <w:tcW w:w="900" w:type="dxa"/>
          </w:tcPr>
          <w:p w14:paraId="6381D251" w14:textId="2810416E" w:rsidR="00D7330C" w:rsidRPr="00B775DB" w:rsidRDefault="00D7330C" w:rsidP="00A539ED">
            <w:pPr>
              <w:spacing w:after="120"/>
              <w:jc w:val="center"/>
              <w:rPr>
                <w:sz w:val="20"/>
              </w:rPr>
            </w:pPr>
            <w:r w:rsidRPr="00B775DB">
              <w:rPr>
                <w:color w:val="FF0000"/>
                <w:sz w:val="20"/>
              </w:rPr>
              <w:t>-5.61%</w:t>
            </w:r>
            <w:r w:rsidR="00F702D6">
              <w:rPr>
                <w:color w:val="FF0000"/>
                <w:sz w:val="20"/>
              </w:rPr>
              <w:t>*</w:t>
            </w:r>
          </w:p>
        </w:tc>
        <w:tc>
          <w:tcPr>
            <w:tcW w:w="630" w:type="dxa"/>
          </w:tcPr>
          <w:p w14:paraId="5C649411" w14:textId="20AB5E74" w:rsidR="00D7330C" w:rsidRPr="00B775DB" w:rsidRDefault="00D7330C" w:rsidP="00A539ED">
            <w:pPr>
              <w:spacing w:after="120"/>
              <w:jc w:val="center"/>
              <w:rPr>
                <w:sz w:val="20"/>
              </w:rPr>
            </w:pPr>
            <w:r>
              <w:rPr>
                <w:sz w:val="20"/>
              </w:rPr>
              <w:t>268</w:t>
            </w:r>
          </w:p>
        </w:tc>
        <w:tc>
          <w:tcPr>
            <w:tcW w:w="900" w:type="dxa"/>
          </w:tcPr>
          <w:p w14:paraId="77CB744F" w14:textId="446533FB" w:rsidR="00D7330C" w:rsidRPr="00B775DB" w:rsidRDefault="00D7330C" w:rsidP="00A539ED">
            <w:pPr>
              <w:spacing w:after="120"/>
              <w:jc w:val="center"/>
              <w:rPr>
                <w:sz w:val="20"/>
              </w:rPr>
            </w:pPr>
            <w:r w:rsidRPr="00B775DB">
              <w:rPr>
                <w:color w:val="FF0000"/>
                <w:sz w:val="20"/>
              </w:rPr>
              <w:t>-9.67%</w:t>
            </w:r>
          </w:p>
        </w:tc>
        <w:tc>
          <w:tcPr>
            <w:tcW w:w="810" w:type="dxa"/>
          </w:tcPr>
          <w:p w14:paraId="19913A94" w14:textId="7987F69A" w:rsidR="00D7330C" w:rsidRPr="00B775DB" w:rsidRDefault="00D7330C" w:rsidP="00A539ED">
            <w:pPr>
              <w:spacing w:after="120"/>
              <w:jc w:val="center"/>
              <w:rPr>
                <w:sz w:val="20"/>
              </w:rPr>
            </w:pPr>
            <w:r>
              <w:rPr>
                <w:sz w:val="20"/>
              </w:rPr>
              <w:t>106</w:t>
            </w:r>
          </w:p>
        </w:tc>
      </w:tr>
    </w:tbl>
    <w:p w14:paraId="7FB077DC" w14:textId="6CB4A32E" w:rsidR="00217711" w:rsidRDefault="00F702D6" w:rsidP="00017306">
      <w:pPr>
        <w:spacing w:after="120" w:line="240" w:lineRule="auto"/>
      </w:pPr>
      <w:r w:rsidRPr="00421C2F">
        <w:rPr>
          <w:sz w:val="20"/>
        </w:rPr>
        <w:t>*Statistically significant difference when compared to the Asian/Pacific Islander reference group, Chi-</w:t>
      </w:r>
      <w:proofErr w:type="spellStart"/>
      <w:r w:rsidRPr="00421C2F">
        <w:rPr>
          <w:sz w:val="20"/>
        </w:rPr>
        <w:t>Sq</w:t>
      </w:r>
      <w:proofErr w:type="spellEnd"/>
      <w:r w:rsidRPr="00421C2F">
        <w:rPr>
          <w:sz w:val="20"/>
        </w:rPr>
        <w:t xml:space="preserve"> </w:t>
      </w:r>
      <w:r>
        <w:rPr>
          <w:sz w:val="20"/>
        </w:rPr>
        <w:t>p</w:t>
      </w:r>
      <w:r w:rsidRPr="00421C2F">
        <w:rPr>
          <w:sz w:val="20"/>
        </w:rPr>
        <w:t>&lt;0.05</w:t>
      </w:r>
    </w:p>
    <w:p w14:paraId="068E80E4" w14:textId="2A1A8437" w:rsidR="008878C3" w:rsidRDefault="008878C3" w:rsidP="00017306">
      <w:pPr>
        <w:spacing w:after="120" w:line="240" w:lineRule="auto"/>
      </w:pPr>
      <w:bookmarkStart w:id="0" w:name="_GoBack"/>
      <w:bookmarkEnd w:id="0"/>
    </w:p>
    <w:p w14:paraId="2799CEA1" w14:textId="78F42A2B" w:rsidR="00017306" w:rsidRPr="00CC4363" w:rsidRDefault="00017306" w:rsidP="006958B5">
      <w:pPr>
        <w:spacing w:after="120" w:line="240" w:lineRule="auto"/>
      </w:pPr>
    </w:p>
    <w:p w14:paraId="3224E97B" w14:textId="6B5E005D" w:rsidR="004C6547" w:rsidRPr="00FB7C64" w:rsidRDefault="00495900" w:rsidP="000814FB">
      <w:pPr>
        <w:jc w:val="center"/>
        <w:rPr>
          <w:b/>
          <w:color w:val="4F81BD" w:themeColor="accent1"/>
          <w:sz w:val="32"/>
          <w:szCs w:val="28"/>
          <w:u w:val="single"/>
        </w:rPr>
      </w:pPr>
      <w:r w:rsidRPr="00FB7C64">
        <w:rPr>
          <w:b/>
          <w:color w:val="4F81BD" w:themeColor="accent1"/>
          <w:sz w:val="32"/>
          <w:szCs w:val="28"/>
          <w:u w:val="single"/>
        </w:rPr>
        <w:lastRenderedPageBreak/>
        <w:t>Best Practices</w:t>
      </w:r>
    </w:p>
    <w:tbl>
      <w:tblPr>
        <w:tblStyle w:val="TableGrid"/>
        <w:tblW w:w="0" w:type="auto"/>
        <w:tblLook w:val="04A0" w:firstRow="1" w:lastRow="0" w:firstColumn="1" w:lastColumn="0" w:noHBand="0" w:noVBand="1"/>
      </w:tblPr>
      <w:tblGrid>
        <w:gridCol w:w="4788"/>
        <w:gridCol w:w="4788"/>
      </w:tblGrid>
      <w:tr w:rsidR="00FB7C64" w14:paraId="06C2B71E" w14:textId="77777777" w:rsidTr="00FB7C64">
        <w:trPr>
          <w:trHeight w:val="683"/>
        </w:trPr>
        <w:tc>
          <w:tcPr>
            <w:tcW w:w="4788" w:type="dxa"/>
            <w:shd w:val="clear" w:color="auto" w:fill="8DB3E2" w:themeFill="text2" w:themeFillTint="66"/>
            <w:vAlign w:val="center"/>
          </w:tcPr>
          <w:p w14:paraId="33C27D36" w14:textId="26F5ECB6" w:rsidR="00FB7C64" w:rsidRPr="00FB7C64" w:rsidRDefault="00FB7C64" w:rsidP="00FB7C64">
            <w:pPr>
              <w:contextualSpacing/>
              <w:jc w:val="center"/>
              <w:rPr>
                <w:rFonts w:ascii="Calibri" w:eastAsia="+mn-ea" w:hAnsi="Calibri" w:cs="+mn-cs"/>
                <w:b/>
                <w:color w:val="000000"/>
                <w:sz w:val="40"/>
              </w:rPr>
            </w:pPr>
            <w:r w:rsidRPr="00FB7C64">
              <w:rPr>
                <w:rFonts w:ascii="Calibri" w:eastAsia="+mn-ea" w:hAnsi="Calibri" w:cs="+mn-cs"/>
                <w:b/>
                <w:color w:val="000000"/>
                <w:sz w:val="40"/>
              </w:rPr>
              <w:t>In-Reach</w:t>
            </w:r>
          </w:p>
        </w:tc>
        <w:tc>
          <w:tcPr>
            <w:tcW w:w="4788" w:type="dxa"/>
            <w:shd w:val="clear" w:color="auto" w:fill="8DB3E2" w:themeFill="text2" w:themeFillTint="66"/>
            <w:vAlign w:val="center"/>
          </w:tcPr>
          <w:p w14:paraId="474A4194" w14:textId="4386DA62" w:rsidR="00FB7C64" w:rsidRPr="00FB7C64" w:rsidRDefault="00FB7C64" w:rsidP="00FB7C64">
            <w:pPr>
              <w:contextualSpacing/>
              <w:jc w:val="center"/>
              <w:rPr>
                <w:rFonts w:ascii="Calibri" w:eastAsia="+mn-ea" w:hAnsi="Calibri" w:cs="+mn-cs"/>
                <w:b/>
                <w:color w:val="000000"/>
                <w:sz w:val="40"/>
              </w:rPr>
            </w:pPr>
            <w:r w:rsidRPr="00FB7C64">
              <w:rPr>
                <w:rFonts w:ascii="Calibri" w:eastAsia="+mn-ea" w:hAnsi="Calibri" w:cs="+mn-cs"/>
                <w:b/>
                <w:color w:val="000000"/>
                <w:sz w:val="40"/>
              </w:rPr>
              <w:t>Outreach</w:t>
            </w:r>
          </w:p>
        </w:tc>
      </w:tr>
      <w:tr w:rsidR="00A67E0B" w14:paraId="3CC9CFA8" w14:textId="77777777" w:rsidTr="00A67E0B">
        <w:tc>
          <w:tcPr>
            <w:tcW w:w="4788" w:type="dxa"/>
          </w:tcPr>
          <w:p w14:paraId="6EE36865" w14:textId="28AEA8C0" w:rsidR="00A67E0B" w:rsidRPr="00FB7C64" w:rsidRDefault="00A67E0B" w:rsidP="00FB7C64">
            <w:pPr>
              <w:pStyle w:val="ListParagraph"/>
              <w:numPr>
                <w:ilvl w:val="0"/>
                <w:numId w:val="20"/>
              </w:numPr>
              <w:rPr>
                <w:rFonts w:ascii="Times New Roman" w:eastAsia="Times New Roman" w:hAnsi="Times New Roman" w:cs="Times New Roman"/>
              </w:rPr>
            </w:pPr>
            <w:r w:rsidRPr="00FB7C64">
              <w:rPr>
                <w:rFonts w:ascii="Calibri" w:eastAsia="+mn-ea" w:hAnsi="Calibri" w:cs="+mn-cs"/>
                <w:color w:val="000000"/>
              </w:rPr>
              <w:t xml:space="preserve">Robust chart scrubs and huddles for same-day </w:t>
            </w:r>
            <w:r w:rsidR="00FB7C64">
              <w:rPr>
                <w:rFonts w:ascii="Calibri" w:eastAsia="+mn-ea" w:hAnsi="Calibri" w:cs="+mn-cs"/>
                <w:color w:val="000000"/>
              </w:rPr>
              <w:t>cervical cancer screenings</w:t>
            </w:r>
          </w:p>
          <w:p w14:paraId="2528D6E4" w14:textId="77777777" w:rsidR="00A67E0B" w:rsidRPr="00FB7C64" w:rsidRDefault="00A67E0B" w:rsidP="00FB7C64">
            <w:pPr>
              <w:pStyle w:val="ListParagraph"/>
              <w:numPr>
                <w:ilvl w:val="1"/>
                <w:numId w:val="22"/>
              </w:numPr>
              <w:rPr>
                <w:rFonts w:ascii="Times New Roman" w:eastAsia="Times New Roman" w:hAnsi="Times New Roman" w:cs="Times New Roman"/>
              </w:rPr>
            </w:pPr>
            <w:r w:rsidRPr="00FB7C64">
              <w:rPr>
                <w:rFonts w:ascii="Calibri" w:eastAsia="+mn-ea" w:hAnsi="Calibri" w:cs="+mn-cs"/>
                <w:color w:val="000000"/>
              </w:rPr>
              <w:t>Review list of patients scheduled that day who are due for a pap, then conduct screening during that visit</w:t>
            </w:r>
          </w:p>
          <w:p w14:paraId="2AC8A765" w14:textId="77777777" w:rsidR="00A67E0B" w:rsidRPr="00FB7C64" w:rsidRDefault="00A67E0B" w:rsidP="00FB7C64">
            <w:pPr>
              <w:pStyle w:val="ListParagraph"/>
              <w:numPr>
                <w:ilvl w:val="1"/>
                <w:numId w:val="22"/>
              </w:numPr>
              <w:rPr>
                <w:rFonts w:ascii="Times New Roman" w:eastAsia="Times New Roman" w:hAnsi="Times New Roman" w:cs="Times New Roman"/>
              </w:rPr>
            </w:pPr>
            <w:r w:rsidRPr="00FB7C64">
              <w:rPr>
                <w:rFonts w:ascii="Calibri" w:eastAsia="+mn-ea" w:hAnsi="Calibri" w:cs="+mn-cs"/>
                <w:color w:val="000000"/>
              </w:rPr>
              <w:t>MAs and other staff identify patients due for screenings during chart prep and share at huddle</w:t>
            </w:r>
          </w:p>
          <w:p w14:paraId="6ECA9ADD" w14:textId="77777777" w:rsidR="00A67E0B" w:rsidRPr="00FB7C64" w:rsidRDefault="00A67E0B" w:rsidP="00FB7C64">
            <w:pPr>
              <w:pStyle w:val="ListParagraph"/>
              <w:numPr>
                <w:ilvl w:val="0"/>
                <w:numId w:val="20"/>
              </w:numPr>
              <w:rPr>
                <w:rFonts w:ascii="Times New Roman" w:eastAsia="Times New Roman" w:hAnsi="Times New Roman" w:cs="Times New Roman"/>
              </w:rPr>
            </w:pPr>
            <w:r w:rsidRPr="00FB7C64">
              <w:rPr>
                <w:rFonts w:ascii="Calibri" w:eastAsia="+mn-ea" w:hAnsi="Calibri" w:cs="+mn-cs"/>
                <w:color w:val="000000"/>
              </w:rPr>
              <w:t>Workflows/ protocols for nurses or medical assistants to schedule follow-up appointments or share any information needed for referrals prior to patients leaving an appointment</w:t>
            </w:r>
          </w:p>
          <w:p w14:paraId="6DA413EF" w14:textId="77777777" w:rsidR="00A67E0B" w:rsidRPr="00FB7C64" w:rsidRDefault="00A67E0B" w:rsidP="00FB7C64">
            <w:pPr>
              <w:pStyle w:val="ListParagraph"/>
              <w:numPr>
                <w:ilvl w:val="0"/>
                <w:numId w:val="20"/>
              </w:numPr>
              <w:rPr>
                <w:rFonts w:ascii="Times New Roman" w:eastAsia="Times New Roman" w:hAnsi="Times New Roman" w:cs="Times New Roman"/>
              </w:rPr>
            </w:pPr>
            <w:r w:rsidRPr="00FB7C64">
              <w:rPr>
                <w:rFonts w:ascii="Calibri" w:eastAsia="+mn-ea" w:hAnsi="Calibri" w:cs="+mn-cs"/>
                <w:color w:val="000000"/>
              </w:rPr>
              <w:t>Schedule in “regular template” </w:t>
            </w:r>
          </w:p>
          <w:p w14:paraId="4A9D9735" w14:textId="77777777" w:rsidR="00A67E0B" w:rsidRPr="00FB7C64" w:rsidRDefault="00A67E0B" w:rsidP="00FB7C64">
            <w:pPr>
              <w:pStyle w:val="ListParagraph"/>
              <w:numPr>
                <w:ilvl w:val="0"/>
                <w:numId w:val="20"/>
              </w:numPr>
              <w:rPr>
                <w:rFonts w:ascii="Times New Roman" w:eastAsia="Times New Roman" w:hAnsi="Times New Roman" w:cs="Times New Roman"/>
              </w:rPr>
            </w:pPr>
            <w:r w:rsidRPr="00FB7C64">
              <w:rPr>
                <w:rFonts w:ascii="Calibri" w:eastAsia="+mn-ea" w:hAnsi="Calibri" w:cs="+mn-cs"/>
                <w:color w:val="000000"/>
              </w:rPr>
              <w:t>Verbal and/or printed educational material for patients</w:t>
            </w:r>
          </w:p>
          <w:p w14:paraId="356910F3" w14:textId="77777777" w:rsidR="00A67E0B" w:rsidRPr="00FB7C64" w:rsidRDefault="00A67E0B" w:rsidP="00C75542">
            <w:pPr>
              <w:rPr>
                <w:b/>
                <w:color w:val="4F81BD" w:themeColor="accent1"/>
                <w:u w:val="single"/>
              </w:rPr>
            </w:pPr>
          </w:p>
        </w:tc>
        <w:tc>
          <w:tcPr>
            <w:tcW w:w="4788" w:type="dxa"/>
          </w:tcPr>
          <w:p w14:paraId="4B56821E" w14:textId="77777777" w:rsidR="00A67E0B" w:rsidRPr="00FB7C64" w:rsidRDefault="00A67E0B" w:rsidP="00FB7C64">
            <w:pPr>
              <w:pStyle w:val="ListParagraph"/>
              <w:numPr>
                <w:ilvl w:val="0"/>
                <w:numId w:val="20"/>
              </w:numPr>
              <w:rPr>
                <w:rFonts w:ascii="Times New Roman" w:eastAsia="Times New Roman" w:hAnsi="Times New Roman" w:cs="Times New Roman"/>
              </w:rPr>
            </w:pPr>
            <w:r w:rsidRPr="00FB7C64">
              <w:rPr>
                <w:rFonts w:ascii="Calibri" w:eastAsia="+mn-ea" w:hAnsi="Calibri" w:cs="+mn-cs"/>
                <w:color w:val="000000"/>
              </w:rPr>
              <w:t xml:space="preserve">Day-before robust confirmation calls are critical </w:t>
            </w:r>
          </w:p>
          <w:p w14:paraId="50CAA0C0" w14:textId="77777777" w:rsidR="00A67E0B" w:rsidRPr="00FB7C64" w:rsidRDefault="00A67E0B" w:rsidP="00FB7C64">
            <w:pPr>
              <w:pStyle w:val="ListParagraph"/>
              <w:numPr>
                <w:ilvl w:val="1"/>
                <w:numId w:val="21"/>
              </w:numPr>
              <w:rPr>
                <w:rFonts w:ascii="Times New Roman" w:eastAsia="Times New Roman" w:hAnsi="Times New Roman" w:cs="Times New Roman"/>
              </w:rPr>
            </w:pPr>
            <w:r w:rsidRPr="00FB7C64">
              <w:rPr>
                <w:rFonts w:ascii="Calibri" w:eastAsia="+mn-ea" w:hAnsi="Calibri" w:cs="+mn-cs"/>
                <w:color w:val="000000"/>
              </w:rPr>
              <w:t xml:space="preserve">Don’t schedule too far in advance </w:t>
            </w:r>
          </w:p>
          <w:p w14:paraId="0885B627" w14:textId="77777777" w:rsidR="00A67E0B" w:rsidRPr="00FB7C64" w:rsidRDefault="00A67E0B" w:rsidP="00FB7C64">
            <w:pPr>
              <w:pStyle w:val="ListParagraph"/>
              <w:numPr>
                <w:ilvl w:val="1"/>
                <w:numId w:val="21"/>
              </w:numPr>
              <w:rPr>
                <w:rFonts w:ascii="Times New Roman" w:eastAsia="Times New Roman" w:hAnsi="Times New Roman" w:cs="Times New Roman"/>
              </w:rPr>
            </w:pPr>
            <w:r w:rsidRPr="00FB7C64">
              <w:rPr>
                <w:rFonts w:ascii="Calibri" w:eastAsia="+mn-ea" w:hAnsi="Calibri" w:cs="+mn-cs"/>
                <w:color w:val="000000"/>
              </w:rPr>
              <w:t xml:space="preserve">Have a strong no-show policy </w:t>
            </w:r>
          </w:p>
          <w:p w14:paraId="0CA9A5D3" w14:textId="77777777" w:rsidR="00A67E0B" w:rsidRPr="00FB7C64" w:rsidRDefault="00A67E0B" w:rsidP="00FB7C64">
            <w:pPr>
              <w:pStyle w:val="ListParagraph"/>
              <w:numPr>
                <w:ilvl w:val="0"/>
                <w:numId w:val="20"/>
              </w:numPr>
              <w:rPr>
                <w:rFonts w:ascii="Times New Roman" w:eastAsia="Times New Roman" w:hAnsi="Times New Roman" w:cs="Times New Roman"/>
              </w:rPr>
            </w:pPr>
            <w:r w:rsidRPr="00FB7C64">
              <w:rPr>
                <w:rFonts w:ascii="Calibri" w:eastAsia="+mn-ea" w:hAnsi="Calibri" w:cs="+mn-cs"/>
                <w:color w:val="000000"/>
              </w:rPr>
              <w:t>Letters – e.g. follow- up call, then send letter</w:t>
            </w:r>
          </w:p>
          <w:p w14:paraId="634B5735" w14:textId="77777777" w:rsidR="00A67E0B" w:rsidRPr="00FB7C64" w:rsidRDefault="00A67E0B" w:rsidP="00FB7C64">
            <w:pPr>
              <w:pStyle w:val="ListParagraph"/>
              <w:numPr>
                <w:ilvl w:val="0"/>
                <w:numId w:val="20"/>
              </w:numPr>
              <w:rPr>
                <w:rFonts w:ascii="Times New Roman" w:eastAsia="Times New Roman" w:hAnsi="Times New Roman" w:cs="Times New Roman"/>
              </w:rPr>
            </w:pPr>
            <w:r w:rsidRPr="00FB7C64">
              <w:rPr>
                <w:rFonts w:ascii="Calibri" w:eastAsia="+mn-ea" w:hAnsi="Calibri" w:cs="+mn-cs"/>
                <w:color w:val="000000"/>
              </w:rPr>
              <w:t xml:space="preserve">Texting – some vendors are </w:t>
            </w:r>
            <w:proofErr w:type="spellStart"/>
            <w:r w:rsidRPr="00FB7C64">
              <w:rPr>
                <w:rFonts w:ascii="Calibri" w:eastAsia="+mn-ea" w:hAnsi="Calibri" w:cs="+mn-cs"/>
                <w:color w:val="000000"/>
              </w:rPr>
              <w:t>CareMessage</w:t>
            </w:r>
            <w:proofErr w:type="spellEnd"/>
            <w:r w:rsidRPr="00FB7C64">
              <w:rPr>
                <w:rFonts w:ascii="Calibri" w:eastAsia="+mn-ea" w:hAnsi="Calibri" w:cs="+mn-cs"/>
                <w:color w:val="000000"/>
              </w:rPr>
              <w:t xml:space="preserve"> or </w:t>
            </w:r>
            <w:proofErr w:type="spellStart"/>
            <w:r w:rsidRPr="00FB7C64">
              <w:rPr>
                <w:rFonts w:ascii="Calibri" w:eastAsia="+mn-ea" w:hAnsi="Calibri" w:cs="+mn-cs"/>
                <w:color w:val="000000"/>
              </w:rPr>
              <w:t>TigerText</w:t>
            </w:r>
            <w:proofErr w:type="spellEnd"/>
            <w:r w:rsidRPr="00FB7C64">
              <w:rPr>
                <w:rFonts w:ascii="Calibri" w:eastAsia="+mn-ea" w:hAnsi="Calibri" w:cs="+mn-cs"/>
                <w:color w:val="000000"/>
              </w:rPr>
              <w:t xml:space="preserve"> </w:t>
            </w:r>
          </w:p>
          <w:p w14:paraId="5C5D7800" w14:textId="77777777" w:rsidR="00A67E0B" w:rsidRPr="00FB7C64" w:rsidRDefault="00A67E0B" w:rsidP="00FB7C64">
            <w:pPr>
              <w:pStyle w:val="ListParagraph"/>
              <w:numPr>
                <w:ilvl w:val="0"/>
                <w:numId w:val="20"/>
              </w:numPr>
              <w:rPr>
                <w:rFonts w:ascii="Times New Roman" w:eastAsia="Times New Roman" w:hAnsi="Times New Roman" w:cs="Times New Roman"/>
              </w:rPr>
            </w:pPr>
            <w:r w:rsidRPr="00FB7C64">
              <w:rPr>
                <w:rFonts w:ascii="Calibri" w:eastAsia="+mn-ea" w:hAnsi="Calibri" w:cs="+mn-cs"/>
                <w:color w:val="000000"/>
              </w:rPr>
              <w:t>Flyers to community-based organizations and housing sites</w:t>
            </w:r>
          </w:p>
          <w:p w14:paraId="08D1797C" w14:textId="77777777" w:rsidR="00A67E0B" w:rsidRPr="00FB7C64" w:rsidRDefault="00A67E0B" w:rsidP="00FB7C64">
            <w:pPr>
              <w:pStyle w:val="ListParagraph"/>
              <w:numPr>
                <w:ilvl w:val="0"/>
                <w:numId w:val="20"/>
              </w:numPr>
              <w:rPr>
                <w:rFonts w:ascii="Times New Roman" w:eastAsia="Times New Roman" w:hAnsi="Times New Roman" w:cs="Times New Roman"/>
              </w:rPr>
            </w:pPr>
            <w:r w:rsidRPr="00FB7C64">
              <w:rPr>
                <w:rFonts w:ascii="Calibri" w:eastAsia="+mn-ea" w:hAnsi="Calibri" w:cs="+mn-cs"/>
                <w:color w:val="000000"/>
              </w:rPr>
              <w:t>Small member incentive: t-shirts, canvas bags, raffle, etc.</w:t>
            </w:r>
          </w:p>
          <w:p w14:paraId="1ABC16F7" w14:textId="77777777" w:rsidR="00A67E0B" w:rsidRPr="00FB7C64" w:rsidRDefault="00A67E0B" w:rsidP="00C75542">
            <w:pPr>
              <w:rPr>
                <w:b/>
                <w:color w:val="4F81BD" w:themeColor="accent1"/>
                <w:u w:val="single"/>
              </w:rPr>
            </w:pPr>
          </w:p>
        </w:tc>
      </w:tr>
      <w:tr w:rsidR="00FB7C64" w14:paraId="5377FCC8" w14:textId="77777777" w:rsidTr="00FB7C64">
        <w:tc>
          <w:tcPr>
            <w:tcW w:w="4788" w:type="dxa"/>
            <w:shd w:val="clear" w:color="auto" w:fill="8DB3E2" w:themeFill="text2" w:themeFillTint="66"/>
            <w:vAlign w:val="center"/>
          </w:tcPr>
          <w:p w14:paraId="49B26C24" w14:textId="2774BA65" w:rsidR="00FB7C64" w:rsidRPr="00FB7C64" w:rsidRDefault="00FB7C64" w:rsidP="00FB7C64">
            <w:pPr>
              <w:contextualSpacing/>
              <w:jc w:val="center"/>
              <w:rPr>
                <w:rFonts w:ascii="Calibri" w:eastAsia="+mn-ea" w:hAnsi="Calibri" w:cs="+mn-cs"/>
                <w:b/>
                <w:color w:val="000000"/>
                <w:sz w:val="40"/>
              </w:rPr>
            </w:pPr>
            <w:r w:rsidRPr="00FB7C64">
              <w:rPr>
                <w:rFonts w:ascii="Calibri" w:eastAsia="+mn-ea" w:hAnsi="Calibri" w:cs="+mn-cs"/>
                <w:b/>
                <w:color w:val="000000"/>
                <w:sz w:val="40"/>
              </w:rPr>
              <w:t>Staffing and Training Models</w:t>
            </w:r>
          </w:p>
        </w:tc>
        <w:tc>
          <w:tcPr>
            <w:tcW w:w="4788" w:type="dxa"/>
            <w:shd w:val="clear" w:color="auto" w:fill="8DB3E2" w:themeFill="text2" w:themeFillTint="66"/>
            <w:vAlign w:val="center"/>
          </w:tcPr>
          <w:p w14:paraId="5CEB8C73" w14:textId="441F7189" w:rsidR="00FB7C64" w:rsidRPr="00FB7C64" w:rsidRDefault="00FB7C64" w:rsidP="00FB7C64">
            <w:pPr>
              <w:contextualSpacing/>
              <w:jc w:val="center"/>
              <w:rPr>
                <w:rFonts w:ascii="Calibri" w:eastAsia="+mn-ea" w:hAnsi="Calibri" w:cs="+mn-cs"/>
                <w:b/>
                <w:color w:val="000000"/>
                <w:sz w:val="40"/>
              </w:rPr>
            </w:pPr>
            <w:r w:rsidRPr="00FB7C64">
              <w:rPr>
                <w:rFonts w:ascii="Calibri" w:eastAsia="+mn-ea" w:hAnsi="Calibri" w:cs="+mn-cs"/>
                <w:b/>
                <w:color w:val="000000"/>
                <w:sz w:val="40"/>
              </w:rPr>
              <w:t xml:space="preserve">Increasing Service Accessibility </w:t>
            </w:r>
          </w:p>
        </w:tc>
      </w:tr>
      <w:tr w:rsidR="00A67E0B" w14:paraId="7E98C535" w14:textId="77777777" w:rsidTr="00A67E0B">
        <w:tc>
          <w:tcPr>
            <w:tcW w:w="4788" w:type="dxa"/>
          </w:tcPr>
          <w:p w14:paraId="279F5A3C" w14:textId="77777777" w:rsidR="00A67E0B" w:rsidRPr="00FB7C64" w:rsidRDefault="00A67E0B" w:rsidP="00FB7C64">
            <w:pPr>
              <w:pStyle w:val="ListParagraph"/>
              <w:numPr>
                <w:ilvl w:val="0"/>
                <w:numId w:val="19"/>
              </w:numPr>
              <w:rPr>
                <w:rFonts w:ascii="Times New Roman" w:eastAsia="Times New Roman" w:hAnsi="Times New Roman" w:cs="Times New Roman"/>
              </w:rPr>
            </w:pPr>
            <w:r w:rsidRPr="00FB7C64">
              <w:rPr>
                <w:rFonts w:ascii="Calibri" w:eastAsia="+mn-ea" w:hAnsi="Calibri" w:cs="+mn-cs"/>
                <w:color w:val="000000"/>
              </w:rPr>
              <w:t>Panel management assistance (MAs, health educators, care coordinators)</w:t>
            </w:r>
          </w:p>
          <w:p w14:paraId="275578C7" w14:textId="77777777" w:rsidR="00A67E0B" w:rsidRPr="00FB7C64" w:rsidRDefault="00A67E0B" w:rsidP="00FB7C64">
            <w:pPr>
              <w:pStyle w:val="ListParagraph"/>
              <w:numPr>
                <w:ilvl w:val="1"/>
                <w:numId w:val="23"/>
              </w:numPr>
              <w:rPr>
                <w:rFonts w:ascii="Times New Roman" w:eastAsia="Times New Roman" w:hAnsi="Times New Roman" w:cs="Times New Roman"/>
              </w:rPr>
            </w:pPr>
            <w:r w:rsidRPr="00FB7C64">
              <w:rPr>
                <w:rFonts w:ascii="Calibri" w:eastAsia="+mn-ea" w:hAnsi="Calibri" w:cs="+mn-cs"/>
                <w:color w:val="000000"/>
              </w:rPr>
              <w:t>Get room setup for pap prior to patient going into exam room</w:t>
            </w:r>
          </w:p>
          <w:p w14:paraId="150740FD" w14:textId="77777777" w:rsidR="00A67E0B" w:rsidRPr="00FB7C64" w:rsidRDefault="00A67E0B" w:rsidP="00FB7C64">
            <w:pPr>
              <w:pStyle w:val="ListParagraph"/>
              <w:numPr>
                <w:ilvl w:val="1"/>
                <w:numId w:val="23"/>
              </w:numPr>
              <w:rPr>
                <w:rFonts w:ascii="Times New Roman" w:eastAsia="Times New Roman" w:hAnsi="Times New Roman" w:cs="Times New Roman"/>
              </w:rPr>
            </w:pPr>
            <w:r w:rsidRPr="00FB7C64">
              <w:rPr>
                <w:rFonts w:ascii="Calibri" w:eastAsia="+mn-ea" w:hAnsi="Calibri" w:cs="+mn-cs"/>
                <w:color w:val="000000"/>
              </w:rPr>
              <w:t xml:space="preserve">If the provider is on-time, the MA can instruct the patient to change after being roomed </w:t>
            </w:r>
          </w:p>
          <w:p w14:paraId="5254E374" w14:textId="77777777" w:rsidR="00A67E0B" w:rsidRPr="00FB7C64" w:rsidRDefault="00A67E0B" w:rsidP="00FB7C64">
            <w:pPr>
              <w:pStyle w:val="ListParagraph"/>
              <w:numPr>
                <w:ilvl w:val="0"/>
                <w:numId w:val="19"/>
              </w:numPr>
              <w:rPr>
                <w:rFonts w:ascii="Times New Roman" w:eastAsia="Times New Roman" w:hAnsi="Times New Roman" w:cs="Times New Roman"/>
              </w:rPr>
            </w:pPr>
            <w:r w:rsidRPr="00FB7C64">
              <w:rPr>
                <w:rFonts w:ascii="Calibri" w:eastAsia="+mn-ea" w:hAnsi="Calibri" w:cs="+mn-cs"/>
                <w:color w:val="000000"/>
              </w:rPr>
              <w:t xml:space="preserve">Staff recognition – Kaiser’s “I saved a life” campaign </w:t>
            </w:r>
          </w:p>
          <w:p w14:paraId="1DA6C62A" w14:textId="77777777" w:rsidR="00A67E0B" w:rsidRPr="00FB7C64" w:rsidRDefault="00A67E0B" w:rsidP="00FB7C64">
            <w:pPr>
              <w:pStyle w:val="ListParagraph"/>
              <w:numPr>
                <w:ilvl w:val="0"/>
                <w:numId w:val="19"/>
              </w:numPr>
              <w:rPr>
                <w:rFonts w:ascii="Times New Roman" w:eastAsia="Times New Roman" w:hAnsi="Times New Roman" w:cs="Times New Roman"/>
              </w:rPr>
            </w:pPr>
            <w:r w:rsidRPr="00FB7C64">
              <w:rPr>
                <w:rFonts w:ascii="Calibri" w:eastAsia="+mn-ea" w:hAnsi="Calibri" w:cs="+mn-cs"/>
                <w:color w:val="000000"/>
              </w:rPr>
              <w:t>Training to improve provider perception of screening (very quick procedure)</w:t>
            </w:r>
          </w:p>
          <w:p w14:paraId="220CF7C0" w14:textId="77777777" w:rsidR="00A67E0B" w:rsidRPr="00FB7C64" w:rsidRDefault="00A67E0B" w:rsidP="00FB7C64">
            <w:pPr>
              <w:pStyle w:val="ListParagraph"/>
              <w:numPr>
                <w:ilvl w:val="0"/>
                <w:numId w:val="19"/>
              </w:numPr>
              <w:rPr>
                <w:rFonts w:ascii="Times New Roman" w:eastAsia="Times New Roman" w:hAnsi="Times New Roman" w:cs="Times New Roman"/>
              </w:rPr>
            </w:pPr>
            <w:r w:rsidRPr="00FB7C64">
              <w:rPr>
                <w:rFonts w:ascii="Calibri" w:eastAsia="+mn-ea" w:hAnsi="Calibri" w:cs="+mn-cs"/>
                <w:color w:val="000000"/>
              </w:rPr>
              <w:t xml:space="preserve">Training on cultural humility, patient communication, and motivational interviewing especially as they relate to populations that have experienced trauma  </w:t>
            </w:r>
          </w:p>
          <w:p w14:paraId="668946F5" w14:textId="77777777" w:rsidR="00A67E0B" w:rsidRPr="00FB7C64" w:rsidRDefault="00A67E0B" w:rsidP="00FB7C64">
            <w:pPr>
              <w:pStyle w:val="ListParagraph"/>
              <w:numPr>
                <w:ilvl w:val="0"/>
                <w:numId w:val="19"/>
              </w:numPr>
              <w:rPr>
                <w:rFonts w:ascii="Times New Roman" w:eastAsia="Times New Roman" w:hAnsi="Times New Roman" w:cs="Times New Roman"/>
              </w:rPr>
            </w:pPr>
            <w:r w:rsidRPr="00FB7C64">
              <w:rPr>
                <w:rFonts w:ascii="Calibri" w:eastAsia="+mn-ea" w:hAnsi="Calibri" w:cs="+mn-cs"/>
                <w:color w:val="000000"/>
              </w:rPr>
              <w:t xml:space="preserve">Provider or care team scorecards </w:t>
            </w:r>
          </w:p>
          <w:p w14:paraId="3B740669" w14:textId="77777777" w:rsidR="00A67E0B" w:rsidRPr="00FB7C64" w:rsidRDefault="00A67E0B" w:rsidP="00FB7C64">
            <w:pPr>
              <w:pStyle w:val="ListParagraph"/>
              <w:numPr>
                <w:ilvl w:val="0"/>
                <w:numId w:val="19"/>
              </w:numPr>
              <w:rPr>
                <w:rFonts w:ascii="Times New Roman" w:eastAsia="Times New Roman" w:hAnsi="Times New Roman" w:cs="Times New Roman"/>
              </w:rPr>
            </w:pPr>
            <w:r w:rsidRPr="00FB7C64">
              <w:rPr>
                <w:rFonts w:ascii="Calibri" w:eastAsia="+mn-ea" w:hAnsi="Calibri" w:cs="+mn-cs"/>
                <w:color w:val="000000"/>
              </w:rPr>
              <w:t xml:space="preserve">Topic at QI meetings with medical directors and QI nurses </w:t>
            </w:r>
          </w:p>
          <w:p w14:paraId="25303647" w14:textId="18FE204F" w:rsidR="00A67E0B" w:rsidRPr="00FB7C64" w:rsidRDefault="00A67E0B" w:rsidP="00C75542">
            <w:pPr>
              <w:pStyle w:val="ListParagraph"/>
              <w:numPr>
                <w:ilvl w:val="0"/>
                <w:numId w:val="19"/>
              </w:numPr>
              <w:rPr>
                <w:rFonts w:ascii="Times New Roman" w:eastAsia="Times New Roman" w:hAnsi="Times New Roman" w:cs="Times New Roman"/>
              </w:rPr>
            </w:pPr>
            <w:r w:rsidRPr="00FB7C64">
              <w:rPr>
                <w:rFonts w:ascii="Calibri" w:eastAsia="+mn-ea" w:hAnsi="Calibri" w:cs="+mn-cs"/>
                <w:color w:val="000000"/>
              </w:rPr>
              <w:t>Encourage patients to allow providers of any sex to perform pap (when appropriate)</w:t>
            </w:r>
          </w:p>
        </w:tc>
        <w:tc>
          <w:tcPr>
            <w:tcW w:w="4788" w:type="dxa"/>
          </w:tcPr>
          <w:p w14:paraId="0055F1E1" w14:textId="77777777" w:rsidR="00A67E0B" w:rsidRPr="00FB7C64" w:rsidRDefault="00A67E0B" w:rsidP="00FB7C64">
            <w:pPr>
              <w:pStyle w:val="ListParagraph"/>
              <w:numPr>
                <w:ilvl w:val="0"/>
                <w:numId w:val="18"/>
              </w:numPr>
              <w:rPr>
                <w:rFonts w:ascii="Times New Roman" w:eastAsia="Times New Roman" w:hAnsi="Times New Roman" w:cs="Times New Roman"/>
              </w:rPr>
            </w:pPr>
            <w:r w:rsidRPr="00FB7C64">
              <w:rPr>
                <w:rFonts w:ascii="Calibri" w:eastAsia="+mn-ea" w:hAnsi="Calibri" w:cs="+mn-cs"/>
                <w:color w:val="000000"/>
              </w:rPr>
              <w:t>Enable nurse practitioners, physician assistants, and general internists to conduct Pap tests to increase health center capacity to conduct screenings</w:t>
            </w:r>
          </w:p>
          <w:p w14:paraId="7C2CE87A" w14:textId="77777777" w:rsidR="00A67E0B" w:rsidRPr="00FB7C64" w:rsidRDefault="00A67E0B" w:rsidP="00FB7C64">
            <w:pPr>
              <w:pStyle w:val="ListParagraph"/>
              <w:numPr>
                <w:ilvl w:val="0"/>
                <w:numId w:val="18"/>
              </w:numPr>
              <w:rPr>
                <w:rFonts w:ascii="Times New Roman" w:eastAsia="Times New Roman" w:hAnsi="Times New Roman" w:cs="Times New Roman"/>
              </w:rPr>
            </w:pPr>
            <w:r w:rsidRPr="00FB7C64">
              <w:rPr>
                <w:rFonts w:ascii="Calibri" w:eastAsia="+mn-ea" w:hAnsi="Calibri" w:cs="+mn-cs"/>
                <w:color w:val="000000"/>
              </w:rPr>
              <w:t>Increase efficiency by doing the pelvic exam first and pap immediately after</w:t>
            </w:r>
          </w:p>
          <w:p w14:paraId="61DF82CF" w14:textId="77777777" w:rsidR="00A67E0B" w:rsidRPr="00FB7C64" w:rsidRDefault="00A67E0B" w:rsidP="00FB7C64">
            <w:pPr>
              <w:pStyle w:val="ListParagraph"/>
              <w:numPr>
                <w:ilvl w:val="0"/>
                <w:numId w:val="18"/>
              </w:numPr>
              <w:rPr>
                <w:rFonts w:ascii="Times New Roman" w:eastAsia="Times New Roman" w:hAnsi="Times New Roman" w:cs="Times New Roman"/>
              </w:rPr>
            </w:pPr>
            <w:r w:rsidRPr="00FB7C64">
              <w:rPr>
                <w:rFonts w:ascii="Calibri" w:eastAsia="+mn-ea" w:hAnsi="Calibri" w:cs="+mn-cs"/>
                <w:color w:val="000000"/>
              </w:rPr>
              <w:t>Offer extended hours on weekends or evenings</w:t>
            </w:r>
          </w:p>
          <w:p w14:paraId="56AA3C67" w14:textId="77777777" w:rsidR="00A67E0B" w:rsidRPr="00FB7C64" w:rsidRDefault="00A67E0B" w:rsidP="00FB7C64">
            <w:pPr>
              <w:pStyle w:val="ListParagraph"/>
              <w:numPr>
                <w:ilvl w:val="0"/>
                <w:numId w:val="18"/>
              </w:numPr>
              <w:rPr>
                <w:rFonts w:ascii="Times New Roman" w:eastAsia="Times New Roman" w:hAnsi="Times New Roman" w:cs="Times New Roman"/>
              </w:rPr>
            </w:pPr>
            <w:r w:rsidRPr="00FB7C64">
              <w:rPr>
                <w:rFonts w:ascii="Calibri" w:eastAsia="+mn-ea" w:hAnsi="Calibri" w:cs="+mn-cs"/>
                <w:color w:val="000000"/>
              </w:rPr>
              <w:t>“Pap cart:” Stock every exam room with pap materials, in identical way so it’s easy for the provider team to find. Include a “second to last one” sign and create a regular restocking protocol</w:t>
            </w:r>
          </w:p>
          <w:p w14:paraId="5BDC2943" w14:textId="476BCED9" w:rsidR="00A67E0B" w:rsidRPr="00FB7C64" w:rsidRDefault="00FB7C64" w:rsidP="00FB7C64">
            <w:pPr>
              <w:pStyle w:val="ListParagraph"/>
              <w:numPr>
                <w:ilvl w:val="0"/>
                <w:numId w:val="18"/>
              </w:numPr>
              <w:rPr>
                <w:rFonts w:ascii="Times New Roman" w:eastAsia="Times New Roman" w:hAnsi="Times New Roman" w:cs="Times New Roman"/>
              </w:rPr>
            </w:pPr>
            <w:r>
              <w:t>H</w:t>
            </w:r>
            <w:r w:rsidR="00A67E0B" w:rsidRPr="00FB7C64">
              <w:rPr>
                <w:rFonts w:ascii="Calibri" w:eastAsia="+mn-ea" w:hAnsi="Calibri" w:cs="+mn-cs"/>
                <w:color w:val="000000"/>
              </w:rPr>
              <w:t xml:space="preserve">elpful materials: thin prep, plastic speculums with a light </w:t>
            </w:r>
          </w:p>
          <w:p w14:paraId="459EF7E4" w14:textId="77777777" w:rsidR="00A67E0B" w:rsidRPr="00FB7C64" w:rsidRDefault="00A67E0B" w:rsidP="00C75542">
            <w:pPr>
              <w:rPr>
                <w:b/>
                <w:color w:val="4F81BD" w:themeColor="accent1"/>
                <w:u w:val="single"/>
              </w:rPr>
            </w:pPr>
          </w:p>
        </w:tc>
      </w:tr>
    </w:tbl>
    <w:p w14:paraId="4A02B000" w14:textId="77777777" w:rsidR="00CC4363" w:rsidRDefault="00CC4363" w:rsidP="0051514C">
      <w:pPr>
        <w:jc w:val="center"/>
        <w:rPr>
          <w:b/>
          <w:color w:val="4F81BD" w:themeColor="accent1"/>
          <w:sz w:val="32"/>
          <w:szCs w:val="28"/>
          <w:u w:val="single"/>
        </w:rPr>
      </w:pPr>
    </w:p>
    <w:p w14:paraId="2799CED3" w14:textId="305D2EDD" w:rsidR="00C75542" w:rsidRPr="00FB7C64" w:rsidRDefault="0051514C" w:rsidP="0051514C">
      <w:pPr>
        <w:jc w:val="center"/>
        <w:rPr>
          <w:b/>
          <w:color w:val="4F81BD" w:themeColor="accent1"/>
          <w:sz w:val="32"/>
          <w:szCs w:val="28"/>
          <w:u w:val="single"/>
        </w:rPr>
      </w:pPr>
      <w:r>
        <w:rPr>
          <w:b/>
          <w:color w:val="4F81BD" w:themeColor="accent1"/>
          <w:sz w:val="32"/>
          <w:szCs w:val="28"/>
          <w:u w:val="single"/>
        </w:rPr>
        <w:t xml:space="preserve">Additional </w:t>
      </w:r>
      <w:r w:rsidR="00C75542" w:rsidRPr="00FB7C64">
        <w:rPr>
          <w:b/>
          <w:color w:val="4F81BD" w:themeColor="accent1"/>
          <w:sz w:val="32"/>
          <w:szCs w:val="28"/>
          <w:u w:val="single"/>
        </w:rPr>
        <w:t>Resources</w:t>
      </w:r>
    </w:p>
    <w:p w14:paraId="5E98FA3A" w14:textId="1217F71E" w:rsidR="00FB7C64" w:rsidRPr="00FB7C64" w:rsidRDefault="00C80AB1" w:rsidP="00C75542">
      <w:pPr>
        <w:rPr>
          <w:rFonts w:cstheme="minorHAnsi"/>
        </w:rPr>
      </w:pPr>
      <w:r>
        <w:rPr>
          <w:rFonts w:eastAsia="Times New Roman" w:cstheme="minorHAnsi"/>
          <w:shd w:val="clear" w:color="auto" w:fill="FFFFFF"/>
        </w:rPr>
        <w:t xml:space="preserve">Below are some additional resources that may be helpful in your efforts to improve performance in cervical cancer screening: </w:t>
      </w:r>
    </w:p>
    <w:p w14:paraId="2799CED5" w14:textId="543F8EF9" w:rsidR="00C75542" w:rsidRPr="00C75542" w:rsidRDefault="00C75542" w:rsidP="00C75542">
      <w:pPr>
        <w:pStyle w:val="ListParagraph"/>
        <w:numPr>
          <w:ilvl w:val="0"/>
          <w:numId w:val="2"/>
        </w:numPr>
      </w:pPr>
      <w:r w:rsidRPr="00C75542">
        <w:t xml:space="preserve">National Academy State Health Policy June 20, 2013 Webinar, What You Can Do Today (and Tomorrow!) to Improve Cervical Cancer Screening available at: </w:t>
      </w:r>
      <w:hyperlink r:id="rId13" w:history="1">
        <w:r w:rsidRPr="00C80AB1">
          <w:rPr>
            <w:color w:val="0000FF" w:themeColor="hyperlink"/>
            <w:u w:val="single"/>
          </w:rPr>
          <w:t>http://www.nashp.org/webinar/what-you-can-do-today-and-tomorrow-improve-cervicalcancer-screening</w:t>
        </w:r>
      </w:hyperlink>
    </w:p>
    <w:p w14:paraId="2799CED6" w14:textId="77777777" w:rsidR="00402558" w:rsidRPr="00402558" w:rsidRDefault="00402558" w:rsidP="00402558">
      <w:pPr>
        <w:pStyle w:val="ListParagraph"/>
        <w:numPr>
          <w:ilvl w:val="0"/>
          <w:numId w:val="2"/>
        </w:numPr>
        <w:spacing w:before="120"/>
        <w:rPr>
          <w:bCs/>
        </w:rPr>
      </w:pPr>
      <w:r w:rsidRPr="00402558">
        <w:rPr>
          <w:bCs/>
        </w:rPr>
        <w:t>Cervical Cancer Prevention and Early Detection</w:t>
      </w:r>
      <w:r>
        <w:rPr>
          <w:bCs/>
        </w:rPr>
        <w:t xml:space="preserve"> (American Cancer Society):  </w:t>
      </w:r>
      <w:hyperlink r:id="rId14" w:history="1">
        <w:r w:rsidRPr="004C74FD">
          <w:rPr>
            <w:rStyle w:val="Hyperlink"/>
            <w:bCs/>
          </w:rPr>
          <w:t>http://www.cancer.org/acs/groups/cid/documents/webcontent/003167-pdf.pdf</w:t>
        </w:r>
      </w:hyperlink>
      <w:r>
        <w:rPr>
          <w:bCs/>
        </w:rPr>
        <w:t xml:space="preserve"> </w:t>
      </w:r>
    </w:p>
    <w:p w14:paraId="2799CED7" w14:textId="686BF20C" w:rsidR="00C75542" w:rsidRDefault="00C80AB1" w:rsidP="00C80AB1">
      <w:pPr>
        <w:pStyle w:val="ListParagraph"/>
        <w:numPr>
          <w:ilvl w:val="0"/>
          <w:numId w:val="2"/>
        </w:numPr>
        <w:spacing w:before="120"/>
      </w:pPr>
      <w:r>
        <w:t xml:space="preserve">The Chronic Care Model provides an evidence based </w:t>
      </w:r>
      <w:r w:rsidRPr="00985C8E">
        <w:rPr>
          <w:rFonts w:eastAsia="Times New Roman" w:cstheme="minorHAnsi"/>
          <w:color w:val="000000"/>
          <w:shd w:val="clear" w:color="auto" w:fill="FFFFFF"/>
        </w:rPr>
        <w:t>organizational framework</w:t>
      </w:r>
      <w:r>
        <w:rPr>
          <w:rFonts w:eastAsia="Times New Roman" w:cstheme="minorHAnsi"/>
          <w:color w:val="000000"/>
          <w:shd w:val="clear" w:color="auto" w:fill="FFFFFF"/>
        </w:rPr>
        <w:t xml:space="preserve"> for improving care delivery: </w:t>
      </w:r>
      <w:hyperlink r:id="rId15" w:history="1">
        <w:r w:rsidRPr="00432A12">
          <w:rPr>
            <w:rStyle w:val="Hyperlink"/>
            <w:rFonts w:eastAsia="Times New Roman" w:cstheme="minorHAnsi"/>
            <w:shd w:val="clear" w:color="auto" w:fill="FFFFFF"/>
          </w:rPr>
          <w:t>http://www.improvingchroniccare.org/index.php?p=The_Chronic_CareModel&amp;s=2</w:t>
        </w:r>
      </w:hyperlink>
      <w:r>
        <w:rPr>
          <w:rFonts w:eastAsia="Times New Roman" w:cstheme="minorHAnsi"/>
          <w:color w:val="000000"/>
          <w:shd w:val="clear" w:color="auto" w:fill="FFFFFF"/>
        </w:rPr>
        <w:t xml:space="preserve"> </w:t>
      </w:r>
    </w:p>
    <w:p w14:paraId="2799CF1D" w14:textId="23AEC00D" w:rsidR="00C75542" w:rsidRDefault="00C80AB1" w:rsidP="00C80AB1">
      <w:pPr>
        <w:pStyle w:val="ListParagraph"/>
        <w:numPr>
          <w:ilvl w:val="0"/>
          <w:numId w:val="2"/>
        </w:numPr>
      </w:pPr>
      <w:r>
        <w:t xml:space="preserve">US Preventive Task Force </w:t>
      </w:r>
      <w:r w:rsidR="00CC4363">
        <w:t xml:space="preserve">Grade A </w:t>
      </w:r>
      <w:r>
        <w:t xml:space="preserve">Recommendation on Cervical Cancer Screening: </w:t>
      </w:r>
      <w:hyperlink r:id="rId16" w:history="1">
        <w:r w:rsidRPr="00432A12">
          <w:rPr>
            <w:rStyle w:val="Hyperlink"/>
          </w:rPr>
          <w:t>http://www.uspreventiveservicestaskforce.org/Page/Document/RecommendationStatementFinal/cervical-cancer-screening</w:t>
        </w:r>
      </w:hyperlink>
      <w:r>
        <w:t xml:space="preserve"> </w:t>
      </w:r>
    </w:p>
    <w:sectPr w:rsidR="00C75542">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4CCBA" w14:textId="77777777" w:rsidR="00F66B26" w:rsidRDefault="00F66B26" w:rsidP="005407CD">
      <w:pPr>
        <w:spacing w:after="0" w:line="240" w:lineRule="auto"/>
      </w:pPr>
      <w:r>
        <w:separator/>
      </w:r>
    </w:p>
  </w:endnote>
  <w:endnote w:type="continuationSeparator" w:id="0">
    <w:p w14:paraId="3F75A013" w14:textId="77777777" w:rsidR="00F66B26" w:rsidRDefault="00F66B26" w:rsidP="0054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387CE" w14:textId="77777777" w:rsidR="00F66B26" w:rsidRDefault="00F66B26" w:rsidP="005407CD">
      <w:pPr>
        <w:spacing w:after="0" w:line="240" w:lineRule="auto"/>
      </w:pPr>
      <w:r>
        <w:separator/>
      </w:r>
    </w:p>
  </w:footnote>
  <w:footnote w:type="continuationSeparator" w:id="0">
    <w:p w14:paraId="0030B29B" w14:textId="77777777" w:rsidR="00F66B26" w:rsidRDefault="00F66B26" w:rsidP="005407CD">
      <w:pPr>
        <w:spacing w:after="0" w:line="240" w:lineRule="auto"/>
      </w:pPr>
      <w:r>
        <w:continuationSeparator/>
      </w:r>
    </w:p>
  </w:footnote>
  <w:footnote w:id="1">
    <w:p w14:paraId="188D1992" w14:textId="59D4B86C" w:rsidR="0051514C" w:rsidRDefault="0051514C">
      <w:pPr>
        <w:pStyle w:val="FootnoteText"/>
      </w:pPr>
      <w:r>
        <w:rPr>
          <w:rStyle w:val="FootnoteReference"/>
        </w:rPr>
        <w:footnoteRef/>
      </w:r>
      <w:r>
        <w:t xml:space="preserve"> US Preventive Task Force, Cervical Cancer Screening Recommendations, March 2012:  </w:t>
      </w:r>
      <w:hyperlink r:id="rId1" w:history="1">
        <w:r w:rsidRPr="00432A12">
          <w:rPr>
            <w:rStyle w:val="Hyperlink"/>
          </w:rPr>
          <w:t>http://www.uspreventiveservicestaskforce.org/Page/Document/RecommendationStatementFinal/cervical-cancer-screening</w:t>
        </w:r>
      </w:hyperlink>
      <w:r>
        <w:t xml:space="preserve"> </w:t>
      </w:r>
    </w:p>
  </w:footnote>
  <w:footnote w:id="2">
    <w:p w14:paraId="4206EA34" w14:textId="30EF93EF" w:rsidR="00E56C6D" w:rsidRDefault="00E56C6D">
      <w:pPr>
        <w:pStyle w:val="FootnoteText"/>
      </w:pPr>
      <w:r>
        <w:rPr>
          <w:rStyle w:val="FootnoteReference"/>
        </w:rPr>
        <w:footnoteRef/>
      </w:r>
      <w:r>
        <w:t xml:space="preserve"> Kim J, et al. </w:t>
      </w:r>
      <w:r w:rsidRPr="00D0705B">
        <w:t>Inefficiencies and High-Value Improvements in U.S. Cervical Cancer Screening Practice: A Cost-Effectiveness Analysis</w:t>
      </w:r>
      <w:r>
        <w:t xml:space="preserve">. </w:t>
      </w:r>
      <w:hyperlink r:id="rId2" w:history="1">
        <w:proofErr w:type="gramStart"/>
        <w:r w:rsidRPr="00D0705B">
          <w:rPr>
            <w:rStyle w:val="Hyperlink"/>
          </w:rPr>
          <w:t>Ann Intern Med.</w:t>
        </w:r>
        <w:proofErr w:type="gramEnd"/>
        <w:r w:rsidRPr="00D0705B">
          <w:rPr>
            <w:rStyle w:val="Hyperlink"/>
          </w:rPr>
          <w:t xml:space="preserve">  2015</w:t>
        </w:r>
        <w:proofErr w:type="gramStart"/>
        <w:r w:rsidRPr="00D0705B">
          <w:rPr>
            <w:rStyle w:val="Hyperlink"/>
          </w:rPr>
          <w:t>;163</w:t>
        </w:r>
        <w:proofErr w:type="gramEnd"/>
        <w:r w:rsidRPr="00D0705B">
          <w:rPr>
            <w:rStyle w:val="Hyperlink"/>
          </w:rPr>
          <w:t>(8):589-597.</w:t>
        </w:r>
      </w:hyperlink>
    </w:p>
  </w:footnote>
  <w:footnote w:id="3">
    <w:p w14:paraId="29FCE31C" w14:textId="62798D5F" w:rsidR="00E56C6D" w:rsidRDefault="00E56C6D">
      <w:pPr>
        <w:pStyle w:val="FootnoteText"/>
      </w:pPr>
      <w:r>
        <w:rPr>
          <w:rStyle w:val="FootnoteReference"/>
        </w:rPr>
        <w:footnoteRef/>
      </w:r>
      <w:r>
        <w:t xml:space="preserve"> Adapted from: Kim J, et al. </w:t>
      </w:r>
      <w:r w:rsidRPr="00D0705B">
        <w:t>Inefficiencies and High-Value Improvements in U.S. Cervical Cancer Screening Practice: A Cost-Effectiveness Analysis</w:t>
      </w:r>
      <w:r>
        <w:t xml:space="preserve">. </w:t>
      </w:r>
      <w:hyperlink r:id="rId3" w:history="1">
        <w:proofErr w:type="gramStart"/>
        <w:r w:rsidRPr="00D0705B">
          <w:rPr>
            <w:rStyle w:val="Hyperlink"/>
          </w:rPr>
          <w:t>Ann Intern Med.</w:t>
        </w:r>
        <w:proofErr w:type="gramEnd"/>
        <w:r w:rsidRPr="00D0705B">
          <w:rPr>
            <w:rStyle w:val="Hyperlink"/>
          </w:rPr>
          <w:t xml:space="preserve">  2015</w:t>
        </w:r>
        <w:proofErr w:type="gramStart"/>
        <w:r w:rsidRPr="00D0705B">
          <w:rPr>
            <w:rStyle w:val="Hyperlink"/>
          </w:rPr>
          <w:t>;163</w:t>
        </w:r>
        <w:proofErr w:type="gramEnd"/>
        <w:r w:rsidRPr="00D0705B">
          <w:rPr>
            <w:rStyle w:val="Hyperlink"/>
          </w:rPr>
          <w:t>(8):589-597.</w:t>
        </w:r>
      </w:hyperlink>
    </w:p>
  </w:footnote>
  <w:footnote w:id="4">
    <w:p w14:paraId="603549B3" w14:textId="77777777" w:rsidR="00E56C6D" w:rsidRDefault="00E56C6D" w:rsidP="006958B5">
      <w:pPr>
        <w:pStyle w:val="FootnoteText"/>
      </w:pPr>
      <w:r>
        <w:rPr>
          <w:rStyle w:val="FootnoteReference"/>
        </w:rPr>
        <w:footnoteRef/>
      </w:r>
      <w:r>
        <w:t xml:space="preserve"> </w:t>
      </w:r>
      <w:proofErr w:type="spellStart"/>
      <w:r>
        <w:t>Gilkey</w:t>
      </w:r>
      <w:proofErr w:type="spellEnd"/>
      <w:r>
        <w:t xml:space="preserve"> B, et al. Quality of Physician Communication about Human Papillomavirus Vaccine: Findings from a National Survey. </w:t>
      </w:r>
      <w:hyperlink r:id="rId4" w:history="1">
        <w:r w:rsidRPr="006958B5">
          <w:rPr>
            <w:rStyle w:val="Hyperlink"/>
          </w:rPr>
          <w:t xml:space="preserve">Cancer </w:t>
        </w:r>
        <w:proofErr w:type="spellStart"/>
        <w:r w:rsidRPr="006958B5">
          <w:rPr>
            <w:rStyle w:val="Hyperlink"/>
          </w:rPr>
          <w:t>Epidemiol</w:t>
        </w:r>
        <w:proofErr w:type="spellEnd"/>
        <w:r w:rsidRPr="006958B5">
          <w:rPr>
            <w:rStyle w:val="Hyperlink"/>
          </w:rPr>
          <w:t xml:space="preserve"> Biomarkers Prev. Oct 15: 24(11); 1–7.</w:t>
        </w:r>
      </w:hyperlink>
      <w:r w:rsidRPr="00B20717">
        <w:t xml:space="preserve"> </w:t>
      </w:r>
    </w:p>
  </w:footnote>
  <w:footnote w:id="5">
    <w:p w14:paraId="07BD199B" w14:textId="3F7917FB" w:rsidR="00244C0C" w:rsidRDefault="00244C0C">
      <w:pPr>
        <w:pStyle w:val="FootnoteText"/>
      </w:pPr>
      <w:r>
        <w:rPr>
          <w:rStyle w:val="FootnoteReference"/>
        </w:rPr>
        <w:footnoteRef/>
      </w:r>
      <w:r>
        <w:t xml:space="preserve"> While HEDIS</w:t>
      </w:r>
      <w:r w:rsidR="000814FB">
        <w:t xml:space="preserve"> and other data sources use</w:t>
      </w:r>
      <w:r>
        <w:t xml:space="preserve"> the category “Hispanic,” we are using the </w:t>
      </w:r>
      <w:r w:rsidR="000814FB">
        <w:t>often</w:t>
      </w:r>
      <w:r>
        <w:t xml:space="preserve"> preferred </w:t>
      </w:r>
      <w:r w:rsidR="000814FB">
        <w:t>and gender-</w:t>
      </w:r>
      <w:r>
        <w:t xml:space="preserve">neutral </w:t>
      </w:r>
      <w:r w:rsidR="000814FB">
        <w:t>category of “</w:t>
      </w:r>
      <w:r>
        <w:t>Latin@</w:t>
      </w:r>
      <w:r w:rsidR="000814FB">
        <w:t>”</w:t>
      </w:r>
      <w:r>
        <w:t xml:space="preserve"> </w:t>
      </w:r>
    </w:p>
  </w:footnote>
  <w:footnote w:id="6">
    <w:p w14:paraId="10E79103" w14:textId="2FFA3630" w:rsidR="00E56C6D" w:rsidRDefault="00E56C6D">
      <w:pPr>
        <w:pStyle w:val="FootnoteText"/>
      </w:pPr>
      <w:r>
        <w:rPr>
          <w:rStyle w:val="FootnoteReference"/>
        </w:rPr>
        <w:footnoteRef/>
      </w:r>
      <w:proofErr w:type="gramStart"/>
      <w:r w:rsidRPr="0091195B">
        <w:t xml:space="preserve">Miller J, </w:t>
      </w:r>
      <w:proofErr w:type="spellStart"/>
      <w:r w:rsidRPr="0091195B">
        <w:t>Plescia</w:t>
      </w:r>
      <w:proofErr w:type="spellEnd"/>
      <w:r w:rsidRPr="0091195B">
        <w:t xml:space="preserve"> M, </w:t>
      </w:r>
      <w:proofErr w:type="spellStart"/>
      <w:r w:rsidRPr="0091195B">
        <w:t>Ekwueme</w:t>
      </w:r>
      <w:proofErr w:type="spellEnd"/>
      <w:r w:rsidRPr="0091195B">
        <w:t xml:space="preserve"> D. Public Health National Approach to </w:t>
      </w:r>
      <w:r>
        <w:t>Reducing Breast and Cervical Cancer Disparities.</w:t>
      </w:r>
      <w:proofErr w:type="gramEnd"/>
      <w:r>
        <w:t xml:space="preserve"> </w:t>
      </w:r>
      <w:hyperlink r:id="rId5" w:tgtFrame="pmc_ext" w:history="1">
        <w:proofErr w:type="gramStart"/>
        <w:r>
          <w:rPr>
            <w:rStyle w:val="cit"/>
            <w:rFonts w:ascii="Arial" w:hAnsi="Arial" w:cs="Arial"/>
            <w:color w:val="642A8F"/>
            <w:sz w:val="16"/>
            <w:szCs w:val="16"/>
            <w:u w:val="single"/>
            <w:shd w:val="clear" w:color="auto" w:fill="FFFFFF"/>
          </w:rPr>
          <w:t>Cancer.</w:t>
        </w:r>
        <w:proofErr w:type="gramEnd"/>
        <w:r>
          <w:rPr>
            <w:rStyle w:val="cit"/>
            <w:rFonts w:ascii="Arial" w:hAnsi="Arial" w:cs="Arial"/>
            <w:color w:val="642A8F"/>
            <w:sz w:val="16"/>
            <w:szCs w:val="16"/>
            <w:u w:val="single"/>
            <w:shd w:val="clear" w:color="auto" w:fill="FFFFFF"/>
          </w:rPr>
          <w:t xml:space="preserve"> 2014 Aug 15; 120(0 16): 2537–2539.</w:t>
        </w:r>
      </w:hyperlink>
      <w:r w:rsidRPr="0091195B">
        <w:t xml:space="preserve"> </w:t>
      </w:r>
    </w:p>
    <w:p w14:paraId="082E5406" w14:textId="77777777" w:rsidR="00E56C6D" w:rsidRPr="0091195B" w:rsidRDefault="00E56C6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9CF28" w14:textId="77777777" w:rsidR="005407CD" w:rsidRDefault="005407CD" w:rsidP="005407CD">
    <w:pPr>
      <w:pStyle w:val="Header"/>
    </w:pPr>
    <w:r w:rsidRPr="009D272D">
      <w:rPr>
        <w:noProof/>
      </w:rPr>
      <w:drawing>
        <wp:inline distT="0" distB="0" distL="0" distR="0" wp14:anchorId="2799CF29" wp14:editId="2799CF2A">
          <wp:extent cx="876300" cy="709803"/>
          <wp:effectExtent l="0" t="0" r="0" b="0"/>
          <wp:docPr id="2" name="Picture 1" descr="http://intranet.sfhp.org/intranet2/Marketing/images/logos/sfhp_logo_307_425_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fhp.org/intranet2/Marketing/images/logos/sfhp_logo_307_425_letter.jpg"/>
                  <pic:cNvPicPr>
                    <a:picLocks noChangeAspect="1" noChangeArrowheads="1"/>
                  </pic:cNvPicPr>
                </pic:nvPicPr>
                <pic:blipFill>
                  <a:blip r:embed="rId1" cstate="print"/>
                  <a:srcRect/>
                  <a:stretch>
                    <a:fillRect/>
                  </a:stretch>
                </pic:blipFill>
                <pic:spPr bwMode="auto">
                  <a:xfrm>
                    <a:off x="0" y="0"/>
                    <a:ext cx="879405" cy="71231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9DA"/>
    <w:multiLevelType w:val="hybridMultilevel"/>
    <w:tmpl w:val="5FBE8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B3530"/>
    <w:multiLevelType w:val="hybridMultilevel"/>
    <w:tmpl w:val="4BB490B2"/>
    <w:lvl w:ilvl="0" w:tplc="675CB8F0">
      <w:start w:val="1"/>
      <w:numFmt w:val="bullet"/>
      <w:lvlText w:val="•"/>
      <w:lvlJc w:val="left"/>
      <w:pPr>
        <w:tabs>
          <w:tab w:val="num" w:pos="720"/>
        </w:tabs>
        <w:ind w:left="720" w:hanging="360"/>
      </w:pPr>
      <w:rPr>
        <w:rFonts w:ascii="Times New Roman" w:hAnsi="Times New Roman" w:hint="default"/>
      </w:rPr>
    </w:lvl>
    <w:lvl w:ilvl="1" w:tplc="57A24D4E" w:tentative="1">
      <w:start w:val="1"/>
      <w:numFmt w:val="bullet"/>
      <w:lvlText w:val="•"/>
      <w:lvlJc w:val="left"/>
      <w:pPr>
        <w:tabs>
          <w:tab w:val="num" w:pos="1440"/>
        </w:tabs>
        <w:ind w:left="1440" w:hanging="360"/>
      </w:pPr>
      <w:rPr>
        <w:rFonts w:ascii="Times New Roman" w:hAnsi="Times New Roman" w:hint="default"/>
      </w:rPr>
    </w:lvl>
    <w:lvl w:ilvl="2" w:tplc="1C94D616" w:tentative="1">
      <w:start w:val="1"/>
      <w:numFmt w:val="bullet"/>
      <w:lvlText w:val="•"/>
      <w:lvlJc w:val="left"/>
      <w:pPr>
        <w:tabs>
          <w:tab w:val="num" w:pos="2160"/>
        </w:tabs>
        <w:ind w:left="2160" w:hanging="360"/>
      </w:pPr>
      <w:rPr>
        <w:rFonts w:ascii="Times New Roman" w:hAnsi="Times New Roman" w:hint="default"/>
      </w:rPr>
    </w:lvl>
    <w:lvl w:ilvl="3" w:tplc="B49C472A" w:tentative="1">
      <w:start w:val="1"/>
      <w:numFmt w:val="bullet"/>
      <w:lvlText w:val="•"/>
      <w:lvlJc w:val="left"/>
      <w:pPr>
        <w:tabs>
          <w:tab w:val="num" w:pos="2880"/>
        </w:tabs>
        <w:ind w:left="2880" w:hanging="360"/>
      </w:pPr>
      <w:rPr>
        <w:rFonts w:ascii="Times New Roman" w:hAnsi="Times New Roman" w:hint="default"/>
      </w:rPr>
    </w:lvl>
    <w:lvl w:ilvl="4" w:tplc="AE2ECDDC" w:tentative="1">
      <w:start w:val="1"/>
      <w:numFmt w:val="bullet"/>
      <w:lvlText w:val="•"/>
      <w:lvlJc w:val="left"/>
      <w:pPr>
        <w:tabs>
          <w:tab w:val="num" w:pos="3600"/>
        </w:tabs>
        <w:ind w:left="3600" w:hanging="360"/>
      </w:pPr>
      <w:rPr>
        <w:rFonts w:ascii="Times New Roman" w:hAnsi="Times New Roman" w:hint="default"/>
      </w:rPr>
    </w:lvl>
    <w:lvl w:ilvl="5" w:tplc="05F4E054" w:tentative="1">
      <w:start w:val="1"/>
      <w:numFmt w:val="bullet"/>
      <w:lvlText w:val="•"/>
      <w:lvlJc w:val="left"/>
      <w:pPr>
        <w:tabs>
          <w:tab w:val="num" w:pos="4320"/>
        </w:tabs>
        <w:ind w:left="4320" w:hanging="360"/>
      </w:pPr>
      <w:rPr>
        <w:rFonts w:ascii="Times New Roman" w:hAnsi="Times New Roman" w:hint="default"/>
      </w:rPr>
    </w:lvl>
    <w:lvl w:ilvl="6" w:tplc="B59EE284" w:tentative="1">
      <w:start w:val="1"/>
      <w:numFmt w:val="bullet"/>
      <w:lvlText w:val="•"/>
      <w:lvlJc w:val="left"/>
      <w:pPr>
        <w:tabs>
          <w:tab w:val="num" w:pos="5040"/>
        </w:tabs>
        <w:ind w:left="5040" w:hanging="360"/>
      </w:pPr>
      <w:rPr>
        <w:rFonts w:ascii="Times New Roman" w:hAnsi="Times New Roman" w:hint="default"/>
      </w:rPr>
    </w:lvl>
    <w:lvl w:ilvl="7" w:tplc="81CC07A8" w:tentative="1">
      <w:start w:val="1"/>
      <w:numFmt w:val="bullet"/>
      <w:lvlText w:val="•"/>
      <w:lvlJc w:val="left"/>
      <w:pPr>
        <w:tabs>
          <w:tab w:val="num" w:pos="5760"/>
        </w:tabs>
        <w:ind w:left="5760" w:hanging="360"/>
      </w:pPr>
      <w:rPr>
        <w:rFonts w:ascii="Times New Roman" w:hAnsi="Times New Roman" w:hint="default"/>
      </w:rPr>
    </w:lvl>
    <w:lvl w:ilvl="8" w:tplc="220A56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572D53"/>
    <w:multiLevelType w:val="hybridMultilevel"/>
    <w:tmpl w:val="B36E0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366F2"/>
    <w:multiLevelType w:val="hybridMultilevel"/>
    <w:tmpl w:val="24EA8D48"/>
    <w:lvl w:ilvl="0" w:tplc="9008EE3C">
      <w:start w:val="1"/>
      <w:numFmt w:val="bullet"/>
      <w:lvlText w:val="•"/>
      <w:lvlJc w:val="left"/>
      <w:pPr>
        <w:tabs>
          <w:tab w:val="num" w:pos="720"/>
        </w:tabs>
        <w:ind w:left="720" w:hanging="360"/>
      </w:pPr>
      <w:rPr>
        <w:rFonts w:ascii="Times New Roman" w:hAnsi="Times New Roman" w:hint="default"/>
      </w:rPr>
    </w:lvl>
    <w:lvl w:ilvl="1" w:tplc="0C847216">
      <w:start w:val="6668"/>
      <w:numFmt w:val="bullet"/>
      <w:lvlText w:val="•"/>
      <w:lvlJc w:val="left"/>
      <w:pPr>
        <w:tabs>
          <w:tab w:val="num" w:pos="1440"/>
        </w:tabs>
        <w:ind w:left="1440" w:hanging="360"/>
      </w:pPr>
      <w:rPr>
        <w:rFonts w:ascii="Times New Roman" w:hAnsi="Times New Roman" w:hint="default"/>
      </w:rPr>
    </w:lvl>
    <w:lvl w:ilvl="2" w:tplc="3F3AE392" w:tentative="1">
      <w:start w:val="1"/>
      <w:numFmt w:val="bullet"/>
      <w:lvlText w:val="•"/>
      <w:lvlJc w:val="left"/>
      <w:pPr>
        <w:tabs>
          <w:tab w:val="num" w:pos="2160"/>
        </w:tabs>
        <w:ind w:left="2160" w:hanging="360"/>
      </w:pPr>
      <w:rPr>
        <w:rFonts w:ascii="Times New Roman" w:hAnsi="Times New Roman" w:hint="default"/>
      </w:rPr>
    </w:lvl>
    <w:lvl w:ilvl="3" w:tplc="E28C97EC" w:tentative="1">
      <w:start w:val="1"/>
      <w:numFmt w:val="bullet"/>
      <w:lvlText w:val="•"/>
      <w:lvlJc w:val="left"/>
      <w:pPr>
        <w:tabs>
          <w:tab w:val="num" w:pos="2880"/>
        </w:tabs>
        <w:ind w:left="2880" w:hanging="360"/>
      </w:pPr>
      <w:rPr>
        <w:rFonts w:ascii="Times New Roman" w:hAnsi="Times New Roman" w:hint="default"/>
      </w:rPr>
    </w:lvl>
    <w:lvl w:ilvl="4" w:tplc="D6A2C112" w:tentative="1">
      <w:start w:val="1"/>
      <w:numFmt w:val="bullet"/>
      <w:lvlText w:val="•"/>
      <w:lvlJc w:val="left"/>
      <w:pPr>
        <w:tabs>
          <w:tab w:val="num" w:pos="3600"/>
        </w:tabs>
        <w:ind w:left="3600" w:hanging="360"/>
      </w:pPr>
      <w:rPr>
        <w:rFonts w:ascii="Times New Roman" w:hAnsi="Times New Roman" w:hint="default"/>
      </w:rPr>
    </w:lvl>
    <w:lvl w:ilvl="5" w:tplc="40DEE0A2" w:tentative="1">
      <w:start w:val="1"/>
      <w:numFmt w:val="bullet"/>
      <w:lvlText w:val="•"/>
      <w:lvlJc w:val="left"/>
      <w:pPr>
        <w:tabs>
          <w:tab w:val="num" w:pos="4320"/>
        </w:tabs>
        <w:ind w:left="4320" w:hanging="360"/>
      </w:pPr>
      <w:rPr>
        <w:rFonts w:ascii="Times New Roman" w:hAnsi="Times New Roman" w:hint="default"/>
      </w:rPr>
    </w:lvl>
    <w:lvl w:ilvl="6" w:tplc="4F445854" w:tentative="1">
      <w:start w:val="1"/>
      <w:numFmt w:val="bullet"/>
      <w:lvlText w:val="•"/>
      <w:lvlJc w:val="left"/>
      <w:pPr>
        <w:tabs>
          <w:tab w:val="num" w:pos="5040"/>
        </w:tabs>
        <w:ind w:left="5040" w:hanging="360"/>
      </w:pPr>
      <w:rPr>
        <w:rFonts w:ascii="Times New Roman" w:hAnsi="Times New Roman" w:hint="default"/>
      </w:rPr>
    </w:lvl>
    <w:lvl w:ilvl="7" w:tplc="F9CA3F34" w:tentative="1">
      <w:start w:val="1"/>
      <w:numFmt w:val="bullet"/>
      <w:lvlText w:val="•"/>
      <w:lvlJc w:val="left"/>
      <w:pPr>
        <w:tabs>
          <w:tab w:val="num" w:pos="5760"/>
        </w:tabs>
        <w:ind w:left="5760" w:hanging="360"/>
      </w:pPr>
      <w:rPr>
        <w:rFonts w:ascii="Times New Roman" w:hAnsi="Times New Roman" w:hint="default"/>
      </w:rPr>
    </w:lvl>
    <w:lvl w:ilvl="8" w:tplc="37D44A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D1421D5"/>
    <w:multiLevelType w:val="hybridMultilevel"/>
    <w:tmpl w:val="3A9612E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941B5"/>
    <w:multiLevelType w:val="hybridMultilevel"/>
    <w:tmpl w:val="1C0A33E8"/>
    <w:lvl w:ilvl="0" w:tplc="D1F41610">
      <w:start w:val="1"/>
      <w:numFmt w:val="bullet"/>
      <w:lvlText w:val="•"/>
      <w:lvlJc w:val="left"/>
      <w:pPr>
        <w:tabs>
          <w:tab w:val="num" w:pos="159"/>
        </w:tabs>
        <w:ind w:left="159" w:hanging="360"/>
      </w:pPr>
      <w:rPr>
        <w:rFonts w:ascii="Times New Roman" w:hAnsi="Times New Roman" w:hint="default"/>
      </w:rPr>
    </w:lvl>
    <w:lvl w:ilvl="1" w:tplc="B3B60060">
      <w:start w:val="1926"/>
      <w:numFmt w:val="bullet"/>
      <w:lvlText w:val="•"/>
      <w:lvlJc w:val="left"/>
      <w:pPr>
        <w:tabs>
          <w:tab w:val="num" w:pos="879"/>
        </w:tabs>
        <w:ind w:left="879" w:hanging="360"/>
      </w:pPr>
      <w:rPr>
        <w:rFonts w:ascii="Times New Roman" w:hAnsi="Times New Roman" w:hint="default"/>
      </w:rPr>
    </w:lvl>
    <w:lvl w:ilvl="2" w:tplc="BA68CA7E" w:tentative="1">
      <w:start w:val="1"/>
      <w:numFmt w:val="bullet"/>
      <w:lvlText w:val="•"/>
      <w:lvlJc w:val="left"/>
      <w:pPr>
        <w:tabs>
          <w:tab w:val="num" w:pos="1599"/>
        </w:tabs>
        <w:ind w:left="1599" w:hanging="360"/>
      </w:pPr>
      <w:rPr>
        <w:rFonts w:ascii="Times New Roman" w:hAnsi="Times New Roman" w:hint="default"/>
      </w:rPr>
    </w:lvl>
    <w:lvl w:ilvl="3" w:tplc="DA9405A0" w:tentative="1">
      <w:start w:val="1"/>
      <w:numFmt w:val="bullet"/>
      <w:lvlText w:val="•"/>
      <w:lvlJc w:val="left"/>
      <w:pPr>
        <w:tabs>
          <w:tab w:val="num" w:pos="2319"/>
        </w:tabs>
        <w:ind w:left="2319" w:hanging="360"/>
      </w:pPr>
      <w:rPr>
        <w:rFonts w:ascii="Times New Roman" w:hAnsi="Times New Roman" w:hint="default"/>
      </w:rPr>
    </w:lvl>
    <w:lvl w:ilvl="4" w:tplc="0930D856" w:tentative="1">
      <w:start w:val="1"/>
      <w:numFmt w:val="bullet"/>
      <w:lvlText w:val="•"/>
      <w:lvlJc w:val="left"/>
      <w:pPr>
        <w:tabs>
          <w:tab w:val="num" w:pos="3039"/>
        </w:tabs>
        <w:ind w:left="3039" w:hanging="360"/>
      </w:pPr>
      <w:rPr>
        <w:rFonts w:ascii="Times New Roman" w:hAnsi="Times New Roman" w:hint="default"/>
      </w:rPr>
    </w:lvl>
    <w:lvl w:ilvl="5" w:tplc="1E609044" w:tentative="1">
      <w:start w:val="1"/>
      <w:numFmt w:val="bullet"/>
      <w:lvlText w:val="•"/>
      <w:lvlJc w:val="left"/>
      <w:pPr>
        <w:tabs>
          <w:tab w:val="num" w:pos="3759"/>
        </w:tabs>
        <w:ind w:left="3759" w:hanging="360"/>
      </w:pPr>
      <w:rPr>
        <w:rFonts w:ascii="Times New Roman" w:hAnsi="Times New Roman" w:hint="default"/>
      </w:rPr>
    </w:lvl>
    <w:lvl w:ilvl="6" w:tplc="F076A9A6" w:tentative="1">
      <w:start w:val="1"/>
      <w:numFmt w:val="bullet"/>
      <w:lvlText w:val="•"/>
      <w:lvlJc w:val="left"/>
      <w:pPr>
        <w:tabs>
          <w:tab w:val="num" w:pos="4479"/>
        </w:tabs>
        <w:ind w:left="4479" w:hanging="360"/>
      </w:pPr>
      <w:rPr>
        <w:rFonts w:ascii="Times New Roman" w:hAnsi="Times New Roman" w:hint="default"/>
      </w:rPr>
    </w:lvl>
    <w:lvl w:ilvl="7" w:tplc="DEF602DE" w:tentative="1">
      <w:start w:val="1"/>
      <w:numFmt w:val="bullet"/>
      <w:lvlText w:val="•"/>
      <w:lvlJc w:val="left"/>
      <w:pPr>
        <w:tabs>
          <w:tab w:val="num" w:pos="5199"/>
        </w:tabs>
        <w:ind w:left="5199" w:hanging="360"/>
      </w:pPr>
      <w:rPr>
        <w:rFonts w:ascii="Times New Roman" w:hAnsi="Times New Roman" w:hint="default"/>
      </w:rPr>
    </w:lvl>
    <w:lvl w:ilvl="8" w:tplc="3CAE5540" w:tentative="1">
      <w:start w:val="1"/>
      <w:numFmt w:val="bullet"/>
      <w:lvlText w:val="•"/>
      <w:lvlJc w:val="left"/>
      <w:pPr>
        <w:tabs>
          <w:tab w:val="num" w:pos="5919"/>
        </w:tabs>
        <w:ind w:left="5919" w:hanging="360"/>
      </w:pPr>
      <w:rPr>
        <w:rFonts w:ascii="Times New Roman" w:hAnsi="Times New Roman" w:hint="default"/>
      </w:rPr>
    </w:lvl>
  </w:abstractNum>
  <w:abstractNum w:abstractNumId="6">
    <w:nsid w:val="45465D29"/>
    <w:multiLevelType w:val="multilevel"/>
    <w:tmpl w:val="94CA6F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AAA0E33"/>
    <w:multiLevelType w:val="hybridMultilevel"/>
    <w:tmpl w:val="FB50C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096C0A"/>
    <w:multiLevelType w:val="hybridMultilevel"/>
    <w:tmpl w:val="0922DDF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D0454C"/>
    <w:multiLevelType w:val="hybridMultilevel"/>
    <w:tmpl w:val="566CC00E"/>
    <w:lvl w:ilvl="0" w:tplc="8D8497E2">
      <w:start w:val="1"/>
      <w:numFmt w:val="bullet"/>
      <w:lvlText w:val="•"/>
      <w:lvlJc w:val="left"/>
      <w:pPr>
        <w:tabs>
          <w:tab w:val="num" w:pos="720"/>
        </w:tabs>
        <w:ind w:left="720" w:hanging="360"/>
      </w:pPr>
      <w:rPr>
        <w:rFonts w:ascii="Times New Roman" w:hAnsi="Times New Roman" w:hint="default"/>
      </w:rPr>
    </w:lvl>
    <w:lvl w:ilvl="1" w:tplc="394218CC">
      <w:start w:val="1832"/>
      <w:numFmt w:val="bullet"/>
      <w:lvlText w:val="•"/>
      <w:lvlJc w:val="left"/>
      <w:pPr>
        <w:tabs>
          <w:tab w:val="num" w:pos="1440"/>
        </w:tabs>
        <w:ind w:left="1440" w:hanging="360"/>
      </w:pPr>
      <w:rPr>
        <w:rFonts w:ascii="Times New Roman" w:hAnsi="Times New Roman" w:hint="default"/>
      </w:rPr>
    </w:lvl>
    <w:lvl w:ilvl="2" w:tplc="C2F01062" w:tentative="1">
      <w:start w:val="1"/>
      <w:numFmt w:val="bullet"/>
      <w:lvlText w:val="•"/>
      <w:lvlJc w:val="left"/>
      <w:pPr>
        <w:tabs>
          <w:tab w:val="num" w:pos="2160"/>
        </w:tabs>
        <w:ind w:left="2160" w:hanging="360"/>
      </w:pPr>
      <w:rPr>
        <w:rFonts w:ascii="Times New Roman" w:hAnsi="Times New Roman" w:hint="default"/>
      </w:rPr>
    </w:lvl>
    <w:lvl w:ilvl="3" w:tplc="FA900D8E" w:tentative="1">
      <w:start w:val="1"/>
      <w:numFmt w:val="bullet"/>
      <w:lvlText w:val="•"/>
      <w:lvlJc w:val="left"/>
      <w:pPr>
        <w:tabs>
          <w:tab w:val="num" w:pos="2880"/>
        </w:tabs>
        <w:ind w:left="2880" w:hanging="360"/>
      </w:pPr>
      <w:rPr>
        <w:rFonts w:ascii="Times New Roman" w:hAnsi="Times New Roman" w:hint="default"/>
      </w:rPr>
    </w:lvl>
    <w:lvl w:ilvl="4" w:tplc="4B66E70A" w:tentative="1">
      <w:start w:val="1"/>
      <w:numFmt w:val="bullet"/>
      <w:lvlText w:val="•"/>
      <w:lvlJc w:val="left"/>
      <w:pPr>
        <w:tabs>
          <w:tab w:val="num" w:pos="3600"/>
        </w:tabs>
        <w:ind w:left="3600" w:hanging="360"/>
      </w:pPr>
      <w:rPr>
        <w:rFonts w:ascii="Times New Roman" w:hAnsi="Times New Roman" w:hint="default"/>
      </w:rPr>
    </w:lvl>
    <w:lvl w:ilvl="5" w:tplc="2D161092" w:tentative="1">
      <w:start w:val="1"/>
      <w:numFmt w:val="bullet"/>
      <w:lvlText w:val="•"/>
      <w:lvlJc w:val="left"/>
      <w:pPr>
        <w:tabs>
          <w:tab w:val="num" w:pos="4320"/>
        </w:tabs>
        <w:ind w:left="4320" w:hanging="360"/>
      </w:pPr>
      <w:rPr>
        <w:rFonts w:ascii="Times New Roman" w:hAnsi="Times New Roman" w:hint="default"/>
      </w:rPr>
    </w:lvl>
    <w:lvl w:ilvl="6" w:tplc="0628873C" w:tentative="1">
      <w:start w:val="1"/>
      <w:numFmt w:val="bullet"/>
      <w:lvlText w:val="•"/>
      <w:lvlJc w:val="left"/>
      <w:pPr>
        <w:tabs>
          <w:tab w:val="num" w:pos="5040"/>
        </w:tabs>
        <w:ind w:left="5040" w:hanging="360"/>
      </w:pPr>
      <w:rPr>
        <w:rFonts w:ascii="Times New Roman" w:hAnsi="Times New Roman" w:hint="default"/>
      </w:rPr>
    </w:lvl>
    <w:lvl w:ilvl="7" w:tplc="9BF46108" w:tentative="1">
      <w:start w:val="1"/>
      <w:numFmt w:val="bullet"/>
      <w:lvlText w:val="•"/>
      <w:lvlJc w:val="left"/>
      <w:pPr>
        <w:tabs>
          <w:tab w:val="num" w:pos="5760"/>
        </w:tabs>
        <w:ind w:left="5760" w:hanging="360"/>
      </w:pPr>
      <w:rPr>
        <w:rFonts w:ascii="Times New Roman" w:hAnsi="Times New Roman" w:hint="default"/>
      </w:rPr>
    </w:lvl>
    <w:lvl w:ilvl="8" w:tplc="F6D865D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DFD76CB"/>
    <w:multiLevelType w:val="hybridMultilevel"/>
    <w:tmpl w:val="34DAD8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B45D5"/>
    <w:multiLevelType w:val="hybridMultilevel"/>
    <w:tmpl w:val="6EC4B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B413EA"/>
    <w:multiLevelType w:val="hybridMultilevel"/>
    <w:tmpl w:val="56A2E202"/>
    <w:lvl w:ilvl="0" w:tplc="F738BB62">
      <w:start w:val="1"/>
      <w:numFmt w:val="bullet"/>
      <w:lvlText w:val="•"/>
      <w:lvlJc w:val="left"/>
      <w:pPr>
        <w:tabs>
          <w:tab w:val="num" w:pos="720"/>
        </w:tabs>
        <w:ind w:left="720" w:hanging="360"/>
      </w:pPr>
      <w:rPr>
        <w:rFonts w:ascii="Times New Roman" w:hAnsi="Times New Roman" w:hint="default"/>
      </w:rPr>
    </w:lvl>
    <w:lvl w:ilvl="1" w:tplc="2F24D7BC">
      <w:start w:val="4573"/>
      <w:numFmt w:val="bullet"/>
      <w:lvlText w:val="•"/>
      <w:lvlJc w:val="left"/>
      <w:pPr>
        <w:tabs>
          <w:tab w:val="num" w:pos="1440"/>
        </w:tabs>
        <w:ind w:left="1440" w:hanging="360"/>
      </w:pPr>
      <w:rPr>
        <w:rFonts w:ascii="Times New Roman" w:hAnsi="Times New Roman" w:hint="default"/>
      </w:rPr>
    </w:lvl>
    <w:lvl w:ilvl="2" w:tplc="07F6DBF8" w:tentative="1">
      <w:start w:val="1"/>
      <w:numFmt w:val="bullet"/>
      <w:lvlText w:val="•"/>
      <w:lvlJc w:val="left"/>
      <w:pPr>
        <w:tabs>
          <w:tab w:val="num" w:pos="2160"/>
        </w:tabs>
        <w:ind w:left="2160" w:hanging="360"/>
      </w:pPr>
      <w:rPr>
        <w:rFonts w:ascii="Times New Roman" w:hAnsi="Times New Roman" w:hint="default"/>
      </w:rPr>
    </w:lvl>
    <w:lvl w:ilvl="3" w:tplc="3A2031CE" w:tentative="1">
      <w:start w:val="1"/>
      <w:numFmt w:val="bullet"/>
      <w:lvlText w:val="•"/>
      <w:lvlJc w:val="left"/>
      <w:pPr>
        <w:tabs>
          <w:tab w:val="num" w:pos="2880"/>
        </w:tabs>
        <w:ind w:left="2880" w:hanging="360"/>
      </w:pPr>
      <w:rPr>
        <w:rFonts w:ascii="Times New Roman" w:hAnsi="Times New Roman" w:hint="default"/>
      </w:rPr>
    </w:lvl>
    <w:lvl w:ilvl="4" w:tplc="31BA2E50" w:tentative="1">
      <w:start w:val="1"/>
      <w:numFmt w:val="bullet"/>
      <w:lvlText w:val="•"/>
      <w:lvlJc w:val="left"/>
      <w:pPr>
        <w:tabs>
          <w:tab w:val="num" w:pos="3600"/>
        </w:tabs>
        <w:ind w:left="3600" w:hanging="360"/>
      </w:pPr>
      <w:rPr>
        <w:rFonts w:ascii="Times New Roman" w:hAnsi="Times New Roman" w:hint="default"/>
      </w:rPr>
    </w:lvl>
    <w:lvl w:ilvl="5" w:tplc="F834741E" w:tentative="1">
      <w:start w:val="1"/>
      <w:numFmt w:val="bullet"/>
      <w:lvlText w:val="•"/>
      <w:lvlJc w:val="left"/>
      <w:pPr>
        <w:tabs>
          <w:tab w:val="num" w:pos="4320"/>
        </w:tabs>
        <w:ind w:left="4320" w:hanging="360"/>
      </w:pPr>
      <w:rPr>
        <w:rFonts w:ascii="Times New Roman" w:hAnsi="Times New Roman" w:hint="default"/>
      </w:rPr>
    </w:lvl>
    <w:lvl w:ilvl="6" w:tplc="0AA23128" w:tentative="1">
      <w:start w:val="1"/>
      <w:numFmt w:val="bullet"/>
      <w:lvlText w:val="•"/>
      <w:lvlJc w:val="left"/>
      <w:pPr>
        <w:tabs>
          <w:tab w:val="num" w:pos="5040"/>
        </w:tabs>
        <w:ind w:left="5040" w:hanging="360"/>
      </w:pPr>
      <w:rPr>
        <w:rFonts w:ascii="Times New Roman" w:hAnsi="Times New Roman" w:hint="default"/>
      </w:rPr>
    </w:lvl>
    <w:lvl w:ilvl="7" w:tplc="115EA492" w:tentative="1">
      <w:start w:val="1"/>
      <w:numFmt w:val="bullet"/>
      <w:lvlText w:val="•"/>
      <w:lvlJc w:val="left"/>
      <w:pPr>
        <w:tabs>
          <w:tab w:val="num" w:pos="5760"/>
        </w:tabs>
        <w:ind w:left="5760" w:hanging="360"/>
      </w:pPr>
      <w:rPr>
        <w:rFonts w:ascii="Times New Roman" w:hAnsi="Times New Roman" w:hint="default"/>
      </w:rPr>
    </w:lvl>
    <w:lvl w:ilvl="8" w:tplc="1CF68EB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2B92601"/>
    <w:multiLevelType w:val="hybridMultilevel"/>
    <w:tmpl w:val="6A36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71034"/>
    <w:multiLevelType w:val="hybridMultilevel"/>
    <w:tmpl w:val="9B1AAA5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D579D9"/>
    <w:multiLevelType w:val="hybridMultilevel"/>
    <w:tmpl w:val="8C8C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2D0AAD"/>
    <w:multiLevelType w:val="hybridMultilevel"/>
    <w:tmpl w:val="709A33AC"/>
    <w:lvl w:ilvl="0" w:tplc="A5DC6418">
      <w:start w:val="1"/>
      <w:numFmt w:val="bullet"/>
      <w:lvlText w:val="•"/>
      <w:lvlJc w:val="left"/>
      <w:pPr>
        <w:tabs>
          <w:tab w:val="num" w:pos="720"/>
        </w:tabs>
        <w:ind w:left="720" w:hanging="360"/>
      </w:pPr>
      <w:rPr>
        <w:rFonts w:ascii="Times New Roman" w:hAnsi="Times New Roman" w:hint="default"/>
      </w:rPr>
    </w:lvl>
    <w:lvl w:ilvl="1" w:tplc="5BCAB530">
      <w:start w:val="3217"/>
      <w:numFmt w:val="bullet"/>
      <w:lvlText w:val="•"/>
      <w:lvlJc w:val="left"/>
      <w:pPr>
        <w:tabs>
          <w:tab w:val="num" w:pos="1440"/>
        </w:tabs>
        <w:ind w:left="1440" w:hanging="360"/>
      </w:pPr>
      <w:rPr>
        <w:rFonts w:ascii="Times New Roman" w:hAnsi="Times New Roman" w:hint="default"/>
      </w:rPr>
    </w:lvl>
    <w:lvl w:ilvl="2" w:tplc="7A92B418" w:tentative="1">
      <w:start w:val="1"/>
      <w:numFmt w:val="bullet"/>
      <w:lvlText w:val="•"/>
      <w:lvlJc w:val="left"/>
      <w:pPr>
        <w:tabs>
          <w:tab w:val="num" w:pos="2160"/>
        </w:tabs>
        <w:ind w:left="2160" w:hanging="360"/>
      </w:pPr>
      <w:rPr>
        <w:rFonts w:ascii="Times New Roman" w:hAnsi="Times New Roman" w:hint="default"/>
      </w:rPr>
    </w:lvl>
    <w:lvl w:ilvl="3" w:tplc="8746F922" w:tentative="1">
      <w:start w:val="1"/>
      <w:numFmt w:val="bullet"/>
      <w:lvlText w:val="•"/>
      <w:lvlJc w:val="left"/>
      <w:pPr>
        <w:tabs>
          <w:tab w:val="num" w:pos="2880"/>
        </w:tabs>
        <w:ind w:left="2880" w:hanging="360"/>
      </w:pPr>
      <w:rPr>
        <w:rFonts w:ascii="Times New Roman" w:hAnsi="Times New Roman" w:hint="default"/>
      </w:rPr>
    </w:lvl>
    <w:lvl w:ilvl="4" w:tplc="1C740AD0" w:tentative="1">
      <w:start w:val="1"/>
      <w:numFmt w:val="bullet"/>
      <w:lvlText w:val="•"/>
      <w:lvlJc w:val="left"/>
      <w:pPr>
        <w:tabs>
          <w:tab w:val="num" w:pos="3600"/>
        </w:tabs>
        <w:ind w:left="3600" w:hanging="360"/>
      </w:pPr>
      <w:rPr>
        <w:rFonts w:ascii="Times New Roman" w:hAnsi="Times New Roman" w:hint="default"/>
      </w:rPr>
    </w:lvl>
    <w:lvl w:ilvl="5" w:tplc="0C3CA368" w:tentative="1">
      <w:start w:val="1"/>
      <w:numFmt w:val="bullet"/>
      <w:lvlText w:val="•"/>
      <w:lvlJc w:val="left"/>
      <w:pPr>
        <w:tabs>
          <w:tab w:val="num" w:pos="4320"/>
        </w:tabs>
        <w:ind w:left="4320" w:hanging="360"/>
      </w:pPr>
      <w:rPr>
        <w:rFonts w:ascii="Times New Roman" w:hAnsi="Times New Roman" w:hint="default"/>
      </w:rPr>
    </w:lvl>
    <w:lvl w:ilvl="6" w:tplc="59BAD226" w:tentative="1">
      <w:start w:val="1"/>
      <w:numFmt w:val="bullet"/>
      <w:lvlText w:val="•"/>
      <w:lvlJc w:val="left"/>
      <w:pPr>
        <w:tabs>
          <w:tab w:val="num" w:pos="5040"/>
        </w:tabs>
        <w:ind w:left="5040" w:hanging="360"/>
      </w:pPr>
      <w:rPr>
        <w:rFonts w:ascii="Times New Roman" w:hAnsi="Times New Roman" w:hint="default"/>
      </w:rPr>
    </w:lvl>
    <w:lvl w:ilvl="7" w:tplc="918056FC" w:tentative="1">
      <w:start w:val="1"/>
      <w:numFmt w:val="bullet"/>
      <w:lvlText w:val="•"/>
      <w:lvlJc w:val="left"/>
      <w:pPr>
        <w:tabs>
          <w:tab w:val="num" w:pos="5760"/>
        </w:tabs>
        <w:ind w:left="5760" w:hanging="360"/>
      </w:pPr>
      <w:rPr>
        <w:rFonts w:ascii="Times New Roman" w:hAnsi="Times New Roman" w:hint="default"/>
      </w:rPr>
    </w:lvl>
    <w:lvl w:ilvl="8" w:tplc="6962520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7686001"/>
    <w:multiLevelType w:val="hybridMultilevel"/>
    <w:tmpl w:val="8284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4A5F53"/>
    <w:multiLevelType w:val="hybridMultilevel"/>
    <w:tmpl w:val="96A81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8B18B9"/>
    <w:multiLevelType w:val="hybridMultilevel"/>
    <w:tmpl w:val="78DCE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DA2E23"/>
    <w:multiLevelType w:val="hybridMultilevel"/>
    <w:tmpl w:val="9942E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E269E3"/>
    <w:multiLevelType w:val="hybridMultilevel"/>
    <w:tmpl w:val="D5BAC1B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4A95883"/>
    <w:multiLevelType w:val="hybridMultilevel"/>
    <w:tmpl w:val="DD4AFBA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7"/>
  </w:num>
  <w:num w:numId="4">
    <w:abstractNumId w:val="6"/>
  </w:num>
  <w:num w:numId="5">
    <w:abstractNumId w:val="13"/>
  </w:num>
  <w:num w:numId="6">
    <w:abstractNumId w:val="15"/>
  </w:num>
  <w:num w:numId="7">
    <w:abstractNumId w:val="16"/>
  </w:num>
  <w:num w:numId="8">
    <w:abstractNumId w:val="11"/>
  </w:num>
  <w:num w:numId="9">
    <w:abstractNumId w:val="9"/>
  </w:num>
  <w:num w:numId="10">
    <w:abstractNumId w:val="10"/>
  </w:num>
  <w:num w:numId="11">
    <w:abstractNumId w:val="4"/>
  </w:num>
  <w:num w:numId="12">
    <w:abstractNumId w:val="22"/>
  </w:num>
  <w:num w:numId="13">
    <w:abstractNumId w:val="5"/>
  </w:num>
  <w:num w:numId="14">
    <w:abstractNumId w:val="12"/>
  </w:num>
  <w:num w:numId="15">
    <w:abstractNumId w:val="3"/>
  </w:num>
  <w:num w:numId="16">
    <w:abstractNumId w:val="1"/>
  </w:num>
  <w:num w:numId="17">
    <w:abstractNumId w:val="0"/>
  </w:num>
  <w:num w:numId="18">
    <w:abstractNumId w:val="7"/>
  </w:num>
  <w:num w:numId="19">
    <w:abstractNumId w:val="18"/>
  </w:num>
  <w:num w:numId="20">
    <w:abstractNumId w:val="19"/>
  </w:num>
  <w:num w:numId="21">
    <w:abstractNumId w:val="14"/>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12"/>
    <w:rsid w:val="00017306"/>
    <w:rsid w:val="000814FB"/>
    <w:rsid w:val="00081A1E"/>
    <w:rsid w:val="00126A37"/>
    <w:rsid w:val="001C41AA"/>
    <w:rsid w:val="001E67B5"/>
    <w:rsid w:val="00217711"/>
    <w:rsid w:val="00244C0C"/>
    <w:rsid w:val="002B7B2D"/>
    <w:rsid w:val="002C16AB"/>
    <w:rsid w:val="00317223"/>
    <w:rsid w:val="00335689"/>
    <w:rsid w:val="00363281"/>
    <w:rsid w:val="0037172A"/>
    <w:rsid w:val="003743F4"/>
    <w:rsid w:val="00402558"/>
    <w:rsid w:val="00424E34"/>
    <w:rsid w:val="00426CB4"/>
    <w:rsid w:val="00456C6D"/>
    <w:rsid w:val="0049106B"/>
    <w:rsid w:val="00495900"/>
    <w:rsid w:val="004A3D75"/>
    <w:rsid w:val="004C6547"/>
    <w:rsid w:val="0051514C"/>
    <w:rsid w:val="005407CD"/>
    <w:rsid w:val="005974F5"/>
    <w:rsid w:val="005F4412"/>
    <w:rsid w:val="006223CD"/>
    <w:rsid w:val="006504A9"/>
    <w:rsid w:val="00674AD2"/>
    <w:rsid w:val="00676161"/>
    <w:rsid w:val="00681030"/>
    <w:rsid w:val="006958B5"/>
    <w:rsid w:val="00695BE9"/>
    <w:rsid w:val="006B3136"/>
    <w:rsid w:val="007073E3"/>
    <w:rsid w:val="00747257"/>
    <w:rsid w:val="007F20E8"/>
    <w:rsid w:val="008553A7"/>
    <w:rsid w:val="008878C3"/>
    <w:rsid w:val="008A6657"/>
    <w:rsid w:val="008D2913"/>
    <w:rsid w:val="008F6939"/>
    <w:rsid w:val="0091195B"/>
    <w:rsid w:val="00996D91"/>
    <w:rsid w:val="00A21D02"/>
    <w:rsid w:val="00A539ED"/>
    <w:rsid w:val="00A53B91"/>
    <w:rsid w:val="00A67E0B"/>
    <w:rsid w:val="00B20717"/>
    <w:rsid w:val="00B55AAA"/>
    <w:rsid w:val="00B619C4"/>
    <w:rsid w:val="00B775DB"/>
    <w:rsid w:val="00BC6797"/>
    <w:rsid w:val="00C24F3F"/>
    <w:rsid w:val="00C75542"/>
    <w:rsid w:val="00C80AB1"/>
    <w:rsid w:val="00CA724D"/>
    <w:rsid w:val="00CC4363"/>
    <w:rsid w:val="00D0705B"/>
    <w:rsid w:val="00D44528"/>
    <w:rsid w:val="00D70AD6"/>
    <w:rsid w:val="00D7330C"/>
    <w:rsid w:val="00DA1005"/>
    <w:rsid w:val="00DB4AE9"/>
    <w:rsid w:val="00E24EE6"/>
    <w:rsid w:val="00E32FF4"/>
    <w:rsid w:val="00E33B63"/>
    <w:rsid w:val="00E56C6D"/>
    <w:rsid w:val="00E91902"/>
    <w:rsid w:val="00EB5F7B"/>
    <w:rsid w:val="00ED1A7C"/>
    <w:rsid w:val="00EE3EE3"/>
    <w:rsid w:val="00F66B26"/>
    <w:rsid w:val="00F702D6"/>
    <w:rsid w:val="00FA304A"/>
    <w:rsid w:val="00FB7C64"/>
    <w:rsid w:val="00FE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412"/>
    <w:pPr>
      <w:ind w:left="720"/>
      <w:contextualSpacing/>
    </w:pPr>
  </w:style>
  <w:style w:type="paragraph" w:styleId="Header">
    <w:name w:val="header"/>
    <w:basedOn w:val="Normal"/>
    <w:link w:val="HeaderChar"/>
    <w:uiPriority w:val="99"/>
    <w:unhideWhenUsed/>
    <w:rsid w:val="00540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7CD"/>
  </w:style>
  <w:style w:type="paragraph" w:styleId="Footer">
    <w:name w:val="footer"/>
    <w:basedOn w:val="Normal"/>
    <w:link w:val="FooterChar"/>
    <w:uiPriority w:val="99"/>
    <w:unhideWhenUsed/>
    <w:rsid w:val="00540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7CD"/>
  </w:style>
  <w:style w:type="paragraph" w:styleId="BalloonText">
    <w:name w:val="Balloon Text"/>
    <w:basedOn w:val="Normal"/>
    <w:link w:val="BalloonTextChar"/>
    <w:uiPriority w:val="99"/>
    <w:semiHidden/>
    <w:unhideWhenUsed/>
    <w:rsid w:val="00540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CD"/>
    <w:rPr>
      <w:rFonts w:ascii="Tahoma" w:hAnsi="Tahoma" w:cs="Tahoma"/>
      <w:sz w:val="16"/>
      <w:szCs w:val="16"/>
    </w:rPr>
  </w:style>
  <w:style w:type="character" w:styleId="Hyperlink">
    <w:name w:val="Hyperlink"/>
    <w:basedOn w:val="DefaultParagraphFont"/>
    <w:uiPriority w:val="99"/>
    <w:unhideWhenUsed/>
    <w:rsid w:val="00D44528"/>
    <w:rPr>
      <w:color w:val="0000FF" w:themeColor="hyperlink"/>
      <w:u w:val="single"/>
    </w:rPr>
  </w:style>
  <w:style w:type="character" w:styleId="CommentReference">
    <w:name w:val="annotation reference"/>
    <w:basedOn w:val="DefaultParagraphFont"/>
    <w:uiPriority w:val="99"/>
    <w:semiHidden/>
    <w:unhideWhenUsed/>
    <w:rsid w:val="005974F5"/>
    <w:rPr>
      <w:sz w:val="16"/>
      <w:szCs w:val="16"/>
    </w:rPr>
  </w:style>
  <w:style w:type="paragraph" w:styleId="CommentText">
    <w:name w:val="annotation text"/>
    <w:basedOn w:val="Normal"/>
    <w:link w:val="CommentTextChar"/>
    <w:uiPriority w:val="99"/>
    <w:semiHidden/>
    <w:unhideWhenUsed/>
    <w:rsid w:val="005974F5"/>
    <w:pPr>
      <w:spacing w:line="240" w:lineRule="auto"/>
    </w:pPr>
    <w:rPr>
      <w:sz w:val="20"/>
      <w:szCs w:val="20"/>
    </w:rPr>
  </w:style>
  <w:style w:type="character" w:customStyle="1" w:styleId="CommentTextChar">
    <w:name w:val="Comment Text Char"/>
    <w:basedOn w:val="DefaultParagraphFont"/>
    <w:link w:val="CommentText"/>
    <w:uiPriority w:val="99"/>
    <w:semiHidden/>
    <w:rsid w:val="005974F5"/>
    <w:rPr>
      <w:sz w:val="20"/>
      <w:szCs w:val="20"/>
    </w:rPr>
  </w:style>
  <w:style w:type="paragraph" w:styleId="CommentSubject">
    <w:name w:val="annotation subject"/>
    <w:basedOn w:val="CommentText"/>
    <w:next w:val="CommentText"/>
    <w:link w:val="CommentSubjectChar"/>
    <w:uiPriority w:val="99"/>
    <w:semiHidden/>
    <w:unhideWhenUsed/>
    <w:rsid w:val="005974F5"/>
    <w:rPr>
      <w:b/>
      <w:bCs/>
    </w:rPr>
  </w:style>
  <w:style w:type="character" w:customStyle="1" w:styleId="CommentSubjectChar">
    <w:name w:val="Comment Subject Char"/>
    <w:basedOn w:val="CommentTextChar"/>
    <w:link w:val="CommentSubject"/>
    <w:uiPriority w:val="99"/>
    <w:semiHidden/>
    <w:rsid w:val="005974F5"/>
    <w:rPr>
      <w:b/>
      <w:bCs/>
      <w:sz w:val="20"/>
      <w:szCs w:val="20"/>
    </w:rPr>
  </w:style>
  <w:style w:type="paragraph" w:customStyle="1" w:styleId="Default">
    <w:name w:val="Default"/>
    <w:basedOn w:val="Normal"/>
    <w:rsid w:val="00017306"/>
    <w:pPr>
      <w:autoSpaceDE w:val="0"/>
      <w:autoSpaceDN w:val="0"/>
      <w:spacing w:after="0" w:line="240" w:lineRule="auto"/>
    </w:pPr>
    <w:rPr>
      <w:rFonts w:ascii="Arial" w:hAnsi="Arial" w:cs="Arial"/>
      <w:color w:val="000000"/>
      <w:sz w:val="24"/>
      <w:szCs w:val="24"/>
    </w:rPr>
  </w:style>
  <w:style w:type="table" w:styleId="TableGrid">
    <w:name w:val="Table Grid"/>
    <w:basedOn w:val="TableNormal"/>
    <w:uiPriority w:val="59"/>
    <w:rsid w:val="0021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1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95B"/>
    <w:rPr>
      <w:sz w:val="20"/>
      <w:szCs w:val="20"/>
    </w:rPr>
  </w:style>
  <w:style w:type="character" w:styleId="FootnoteReference">
    <w:name w:val="footnote reference"/>
    <w:basedOn w:val="DefaultParagraphFont"/>
    <w:uiPriority w:val="99"/>
    <w:semiHidden/>
    <w:unhideWhenUsed/>
    <w:rsid w:val="0091195B"/>
    <w:rPr>
      <w:vertAlign w:val="superscript"/>
    </w:rPr>
  </w:style>
  <w:style w:type="paragraph" w:styleId="EndnoteText">
    <w:name w:val="endnote text"/>
    <w:basedOn w:val="Normal"/>
    <w:link w:val="EndnoteTextChar"/>
    <w:uiPriority w:val="99"/>
    <w:semiHidden/>
    <w:unhideWhenUsed/>
    <w:rsid w:val="009119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195B"/>
    <w:rPr>
      <w:sz w:val="20"/>
      <w:szCs w:val="20"/>
    </w:rPr>
  </w:style>
  <w:style w:type="character" w:styleId="EndnoteReference">
    <w:name w:val="endnote reference"/>
    <w:basedOn w:val="DefaultParagraphFont"/>
    <w:uiPriority w:val="99"/>
    <w:semiHidden/>
    <w:unhideWhenUsed/>
    <w:rsid w:val="0091195B"/>
    <w:rPr>
      <w:vertAlign w:val="superscript"/>
    </w:rPr>
  </w:style>
  <w:style w:type="character" w:customStyle="1" w:styleId="cit">
    <w:name w:val="cit"/>
    <w:basedOn w:val="DefaultParagraphFont"/>
    <w:rsid w:val="0091195B"/>
  </w:style>
  <w:style w:type="character" w:styleId="FollowedHyperlink">
    <w:name w:val="FollowedHyperlink"/>
    <w:basedOn w:val="DefaultParagraphFont"/>
    <w:uiPriority w:val="99"/>
    <w:semiHidden/>
    <w:unhideWhenUsed/>
    <w:rsid w:val="00CC43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412"/>
    <w:pPr>
      <w:ind w:left="720"/>
      <w:contextualSpacing/>
    </w:pPr>
  </w:style>
  <w:style w:type="paragraph" w:styleId="Header">
    <w:name w:val="header"/>
    <w:basedOn w:val="Normal"/>
    <w:link w:val="HeaderChar"/>
    <w:uiPriority w:val="99"/>
    <w:unhideWhenUsed/>
    <w:rsid w:val="00540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7CD"/>
  </w:style>
  <w:style w:type="paragraph" w:styleId="Footer">
    <w:name w:val="footer"/>
    <w:basedOn w:val="Normal"/>
    <w:link w:val="FooterChar"/>
    <w:uiPriority w:val="99"/>
    <w:unhideWhenUsed/>
    <w:rsid w:val="00540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7CD"/>
  </w:style>
  <w:style w:type="paragraph" w:styleId="BalloonText">
    <w:name w:val="Balloon Text"/>
    <w:basedOn w:val="Normal"/>
    <w:link w:val="BalloonTextChar"/>
    <w:uiPriority w:val="99"/>
    <w:semiHidden/>
    <w:unhideWhenUsed/>
    <w:rsid w:val="00540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CD"/>
    <w:rPr>
      <w:rFonts w:ascii="Tahoma" w:hAnsi="Tahoma" w:cs="Tahoma"/>
      <w:sz w:val="16"/>
      <w:szCs w:val="16"/>
    </w:rPr>
  </w:style>
  <w:style w:type="character" w:styleId="Hyperlink">
    <w:name w:val="Hyperlink"/>
    <w:basedOn w:val="DefaultParagraphFont"/>
    <w:uiPriority w:val="99"/>
    <w:unhideWhenUsed/>
    <w:rsid w:val="00D44528"/>
    <w:rPr>
      <w:color w:val="0000FF" w:themeColor="hyperlink"/>
      <w:u w:val="single"/>
    </w:rPr>
  </w:style>
  <w:style w:type="character" w:styleId="CommentReference">
    <w:name w:val="annotation reference"/>
    <w:basedOn w:val="DefaultParagraphFont"/>
    <w:uiPriority w:val="99"/>
    <w:semiHidden/>
    <w:unhideWhenUsed/>
    <w:rsid w:val="005974F5"/>
    <w:rPr>
      <w:sz w:val="16"/>
      <w:szCs w:val="16"/>
    </w:rPr>
  </w:style>
  <w:style w:type="paragraph" w:styleId="CommentText">
    <w:name w:val="annotation text"/>
    <w:basedOn w:val="Normal"/>
    <w:link w:val="CommentTextChar"/>
    <w:uiPriority w:val="99"/>
    <w:semiHidden/>
    <w:unhideWhenUsed/>
    <w:rsid w:val="005974F5"/>
    <w:pPr>
      <w:spacing w:line="240" w:lineRule="auto"/>
    </w:pPr>
    <w:rPr>
      <w:sz w:val="20"/>
      <w:szCs w:val="20"/>
    </w:rPr>
  </w:style>
  <w:style w:type="character" w:customStyle="1" w:styleId="CommentTextChar">
    <w:name w:val="Comment Text Char"/>
    <w:basedOn w:val="DefaultParagraphFont"/>
    <w:link w:val="CommentText"/>
    <w:uiPriority w:val="99"/>
    <w:semiHidden/>
    <w:rsid w:val="005974F5"/>
    <w:rPr>
      <w:sz w:val="20"/>
      <w:szCs w:val="20"/>
    </w:rPr>
  </w:style>
  <w:style w:type="paragraph" w:styleId="CommentSubject">
    <w:name w:val="annotation subject"/>
    <w:basedOn w:val="CommentText"/>
    <w:next w:val="CommentText"/>
    <w:link w:val="CommentSubjectChar"/>
    <w:uiPriority w:val="99"/>
    <w:semiHidden/>
    <w:unhideWhenUsed/>
    <w:rsid w:val="005974F5"/>
    <w:rPr>
      <w:b/>
      <w:bCs/>
    </w:rPr>
  </w:style>
  <w:style w:type="character" w:customStyle="1" w:styleId="CommentSubjectChar">
    <w:name w:val="Comment Subject Char"/>
    <w:basedOn w:val="CommentTextChar"/>
    <w:link w:val="CommentSubject"/>
    <w:uiPriority w:val="99"/>
    <w:semiHidden/>
    <w:rsid w:val="005974F5"/>
    <w:rPr>
      <w:b/>
      <w:bCs/>
      <w:sz w:val="20"/>
      <w:szCs w:val="20"/>
    </w:rPr>
  </w:style>
  <w:style w:type="paragraph" w:customStyle="1" w:styleId="Default">
    <w:name w:val="Default"/>
    <w:basedOn w:val="Normal"/>
    <w:rsid w:val="00017306"/>
    <w:pPr>
      <w:autoSpaceDE w:val="0"/>
      <w:autoSpaceDN w:val="0"/>
      <w:spacing w:after="0" w:line="240" w:lineRule="auto"/>
    </w:pPr>
    <w:rPr>
      <w:rFonts w:ascii="Arial" w:hAnsi="Arial" w:cs="Arial"/>
      <w:color w:val="000000"/>
      <w:sz w:val="24"/>
      <w:szCs w:val="24"/>
    </w:rPr>
  </w:style>
  <w:style w:type="table" w:styleId="TableGrid">
    <w:name w:val="Table Grid"/>
    <w:basedOn w:val="TableNormal"/>
    <w:uiPriority w:val="59"/>
    <w:rsid w:val="0021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1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95B"/>
    <w:rPr>
      <w:sz w:val="20"/>
      <w:szCs w:val="20"/>
    </w:rPr>
  </w:style>
  <w:style w:type="character" w:styleId="FootnoteReference">
    <w:name w:val="footnote reference"/>
    <w:basedOn w:val="DefaultParagraphFont"/>
    <w:uiPriority w:val="99"/>
    <w:semiHidden/>
    <w:unhideWhenUsed/>
    <w:rsid w:val="0091195B"/>
    <w:rPr>
      <w:vertAlign w:val="superscript"/>
    </w:rPr>
  </w:style>
  <w:style w:type="paragraph" w:styleId="EndnoteText">
    <w:name w:val="endnote text"/>
    <w:basedOn w:val="Normal"/>
    <w:link w:val="EndnoteTextChar"/>
    <w:uiPriority w:val="99"/>
    <w:semiHidden/>
    <w:unhideWhenUsed/>
    <w:rsid w:val="009119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195B"/>
    <w:rPr>
      <w:sz w:val="20"/>
      <w:szCs w:val="20"/>
    </w:rPr>
  </w:style>
  <w:style w:type="character" w:styleId="EndnoteReference">
    <w:name w:val="endnote reference"/>
    <w:basedOn w:val="DefaultParagraphFont"/>
    <w:uiPriority w:val="99"/>
    <w:semiHidden/>
    <w:unhideWhenUsed/>
    <w:rsid w:val="0091195B"/>
    <w:rPr>
      <w:vertAlign w:val="superscript"/>
    </w:rPr>
  </w:style>
  <w:style w:type="character" w:customStyle="1" w:styleId="cit">
    <w:name w:val="cit"/>
    <w:basedOn w:val="DefaultParagraphFont"/>
    <w:rsid w:val="0091195B"/>
  </w:style>
  <w:style w:type="character" w:styleId="FollowedHyperlink">
    <w:name w:val="FollowedHyperlink"/>
    <w:basedOn w:val="DefaultParagraphFont"/>
    <w:uiPriority w:val="99"/>
    <w:semiHidden/>
    <w:unhideWhenUsed/>
    <w:rsid w:val="00CC4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3903">
      <w:bodyDiv w:val="1"/>
      <w:marLeft w:val="0"/>
      <w:marRight w:val="0"/>
      <w:marTop w:val="0"/>
      <w:marBottom w:val="0"/>
      <w:divBdr>
        <w:top w:val="none" w:sz="0" w:space="0" w:color="auto"/>
        <w:left w:val="none" w:sz="0" w:space="0" w:color="auto"/>
        <w:bottom w:val="none" w:sz="0" w:space="0" w:color="auto"/>
        <w:right w:val="none" w:sz="0" w:space="0" w:color="auto"/>
      </w:divBdr>
    </w:div>
    <w:div w:id="134952412">
      <w:bodyDiv w:val="1"/>
      <w:marLeft w:val="0"/>
      <w:marRight w:val="0"/>
      <w:marTop w:val="0"/>
      <w:marBottom w:val="0"/>
      <w:divBdr>
        <w:top w:val="none" w:sz="0" w:space="0" w:color="auto"/>
        <w:left w:val="none" w:sz="0" w:space="0" w:color="auto"/>
        <w:bottom w:val="none" w:sz="0" w:space="0" w:color="auto"/>
        <w:right w:val="none" w:sz="0" w:space="0" w:color="auto"/>
      </w:divBdr>
    </w:div>
    <w:div w:id="151485726">
      <w:bodyDiv w:val="1"/>
      <w:marLeft w:val="0"/>
      <w:marRight w:val="0"/>
      <w:marTop w:val="0"/>
      <w:marBottom w:val="0"/>
      <w:divBdr>
        <w:top w:val="none" w:sz="0" w:space="0" w:color="auto"/>
        <w:left w:val="none" w:sz="0" w:space="0" w:color="auto"/>
        <w:bottom w:val="none" w:sz="0" w:space="0" w:color="auto"/>
        <w:right w:val="none" w:sz="0" w:space="0" w:color="auto"/>
      </w:divBdr>
    </w:div>
    <w:div w:id="187135784">
      <w:bodyDiv w:val="1"/>
      <w:marLeft w:val="0"/>
      <w:marRight w:val="0"/>
      <w:marTop w:val="0"/>
      <w:marBottom w:val="0"/>
      <w:divBdr>
        <w:top w:val="none" w:sz="0" w:space="0" w:color="auto"/>
        <w:left w:val="none" w:sz="0" w:space="0" w:color="auto"/>
        <w:bottom w:val="none" w:sz="0" w:space="0" w:color="auto"/>
        <w:right w:val="none" w:sz="0" w:space="0" w:color="auto"/>
      </w:divBdr>
      <w:divsChild>
        <w:div w:id="669411624">
          <w:marLeft w:val="547"/>
          <w:marRight w:val="0"/>
          <w:marTop w:val="0"/>
          <w:marBottom w:val="0"/>
          <w:divBdr>
            <w:top w:val="none" w:sz="0" w:space="0" w:color="auto"/>
            <w:left w:val="none" w:sz="0" w:space="0" w:color="auto"/>
            <w:bottom w:val="none" w:sz="0" w:space="0" w:color="auto"/>
            <w:right w:val="none" w:sz="0" w:space="0" w:color="auto"/>
          </w:divBdr>
        </w:div>
        <w:div w:id="1229455921">
          <w:marLeft w:val="1166"/>
          <w:marRight w:val="0"/>
          <w:marTop w:val="0"/>
          <w:marBottom w:val="0"/>
          <w:divBdr>
            <w:top w:val="none" w:sz="0" w:space="0" w:color="auto"/>
            <w:left w:val="none" w:sz="0" w:space="0" w:color="auto"/>
            <w:bottom w:val="none" w:sz="0" w:space="0" w:color="auto"/>
            <w:right w:val="none" w:sz="0" w:space="0" w:color="auto"/>
          </w:divBdr>
        </w:div>
        <w:div w:id="1038894042">
          <w:marLeft w:val="1166"/>
          <w:marRight w:val="0"/>
          <w:marTop w:val="0"/>
          <w:marBottom w:val="0"/>
          <w:divBdr>
            <w:top w:val="none" w:sz="0" w:space="0" w:color="auto"/>
            <w:left w:val="none" w:sz="0" w:space="0" w:color="auto"/>
            <w:bottom w:val="none" w:sz="0" w:space="0" w:color="auto"/>
            <w:right w:val="none" w:sz="0" w:space="0" w:color="auto"/>
          </w:divBdr>
        </w:div>
        <w:div w:id="375350002">
          <w:marLeft w:val="547"/>
          <w:marRight w:val="0"/>
          <w:marTop w:val="0"/>
          <w:marBottom w:val="0"/>
          <w:divBdr>
            <w:top w:val="none" w:sz="0" w:space="0" w:color="auto"/>
            <w:left w:val="none" w:sz="0" w:space="0" w:color="auto"/>
            <w:bottom w:val="none" w:sz="0" w:space="0" w:color="auto"/>
            <w:right w:val="none" w:sz="0" w:space="0" w:color="auto"/>
          </w:divBdr>
        </w:div>
        <w:div w:id="388186228">
          <w:marLeft w:val="547"/>
          <w:marRight w:val="0"/>
          <w:marTop w:val="0"/>
          <w:marBottom w:val="0"/>
          <w:divBdr>
            <w:top w:val="none" w:sz="0" w:space="0" w:color="auto"/>
            <w:left w:val="none" w:sz="0" w:space="0" w:color="auto"/>
            <w:bottom w:val="none" w:sz="0" w:space="0" w:color="auto"/>
            <w:right w:val="none" w:sz="0" w:space="0" w:color="auto"/>
          </w:divBdr>
        </w:div>
        <w:div w:id="1909731725">
          <w:marLeft w:val="547"/>
          <w:marRight w:val="0"/>
          <w:marTop w:val="0"/>
          <w:marBottom w:val="0"/>
          <w:divBdr>
            <w:top w:val="none" w:sz="0" w:space="0" w:color="auto"/>
            <w:left w:val="none" w:sz="0" w:space="0" w:color="auto"/>
            <w:bottom w:val="none" w:sz="0" w:space="0" w:color="auto"/>
            <w:right w:val="none" w:sz="0" w:space="0" w:color="auto"/>
          </w:divBdr>
        </w:div>
      </w:divsChild>
    </w:div>
    <w:div w:id="206994571">
      <w:bodyDiv w:val="1"/>
      <w:marLeft w:val="0"/>
      <w:marRight w:val="0"/>
      <w:marTop w:val="0"/>
      <w:marBottom w:val="0"/>
      <w:divBdr>
        <w:top w:val="none" w:sz="0" w:space="0" w:color="auto"/>
        <w:left w:val="none" w:sz="0" w:space="0" w:color="auto"/>
        <w:bottom w:val="none" w:sz="0" w:space="0" w:color="auto"/>
        <w:right w:val="none" w:sz="0" w:space="0" w:color="auto"/>
      </w:divBdr>
      <w:divsChild>
        <w:div w:id="1531995680">
          <w:marLeft w:val="547"/>
          <w:marRight w:val="0"/>
          <w:marTop w:val="0"/>
          <w:marBottom w:val="0"/>
          <w:divBdr>
            <w:top w:val="none" w:sz="0" w:space="0" w:color="auto"/>
            <w:left w:val="none" w:sz="0" w:space="0" w:color="auto"/>
            <w:bottom w:val="none" w:sz="0" w:space="0" w:color="auto"/>
            <w:right w:val="none" w:sz="0" w:space="0" w:color="auto"/>
          </w:divBdr>
        </w:div>
      </w:divsChild>
    </w:div>
    <w:div w:id="260114583">
      <w:bodyDiv w:val="1"/>
      <w:marLeft w:val="0"/>
      <w:marRight w:val="0"/>
      <w:marTop w:val="0"/>
      <w:marBottom w:val="0"/>
      <w:divBdr>
        <w:top w:val="none" w:sz="0" w:space="0" w:color="auto"/>
        <w:left w:val="none" w:sz="0" w:space="0" w:color="auto"/>
        <w:bottom w:val="none" w:sz="0" w:space="0" w:color="auto"/>
        <w:right w:val="none" w:sz="0" w:space="0" w:color="auto"/>
      </w:divBdr>
    </w:div>
    <w:div w:id="364454078">
      <w:bodyDiv w:val="1"/>
      <w:marLeft w:val="0"/>
      <w:marRight w:val="0"/>
      <w:marTop w:val="0"/>
      <w:marBottom w:val="0"/>
      <w:divBdr>
        <w:top w:val="none" w:sz="0" w:space="0" w:color="auto"/>
        <w:left w:val="none" w:sz="0" w:space="0" w:color="auto"/>
        <w:bottom w:val="none" w:sz="0" w:space="0" w:color="auto"/>
        <w:right w:val="none" w:sz="0" w:space="0" w:color="auto"/>
      </w:divBdr>
    </w:div>
    <w:div w:id="431635330">
      <w:bodyDiv w:val="1"/>
      <w:marLeft w:val="0"/>
      <w:marRight w:val="0"/>
      <w:marTop w:val="0"/>
      <w:marBottom w:val="0"/>
      <w:divBdr>
        <w:top w:val="none" w:sz="0" w:space="0" w:color="auto"/>
        <w:left w:val="none" w:sz="0" w:space="0" w:color="auto"/>
        <w:bottom w:val="none" w:sz="0" w:space="0" w:color="auto"/>
        <w:right w:val="none" w:sz="0" w:space="0" w:color="auto"/>
      </w:divBdr>
      <w:divsChild>
        <w:div w:id="1542474277">
          <w:marLeft w:val="547"/>
          <w:marRight w:val="0"/>
          <w:marTop w:val="0"/>
          <w:marBottom w:val="0"/>
          <w:divBdr>
            <w:top w:val="none" w:sz="0" w:space="0" w:color="auto"/>
            <w:left w:val="none" w:sz="0" w:space="0" w:color="auto"/>
            <w:bottom w:val="none" w:sz="0" w:space="0" w:color="auto"/>
            <w:right w:val="none" w:sz="0" w:space="0" w:color="auto"/>
          </w:divBdr>
        </w:div>
        <w:div w:id="401682538">
          <w:marLeft w:val="1166"/>
          <w:marRight w:val="0"/>
          <w:marTop w:val="0"/>
          <w:marBottom w:val="0"/>
          <w:divBdr>
            <w:top w:val="none" w:sz="0" w:space="0" w:color="auto"/>
            <w:left w:val="none" w:sz="0" w:space="0" w:color="auto"/>
            <w:bottom w:val="none" w:sz="0" w:space="0" w:color="auto"/>
            <w:right w:val="none" w:sz="0" w:space="0" w:color="auto"/>
          </w:divBdr>
        </w:div>
        <w:div w:id="939487003">
          <w:marLeft w:val="1166"/>
          <w:marRight w:val="0"/>
          <w:marTop w:val="0"/>
          <w:marBottom w:val="0"/>
          <w:divBdr>
            <w:top w:val="none" w:sz="0" w:space="0" w:color="auto"/>
            <w:left w:val="none" w:sz="0" w:space="0" w:color="auto"/>
            <w:bottom w:val="none" w:sz="0" w:space="0" w:color="auto"/>
            <w:right w:val="none" w:sz="0" w:space="0" w:color="auto"/>
          </w:divBdr>
        </w:div>
        <w:div w:id="281113827">
          <w:marLeft w:val="547"/>
          <w:marRight w:val="0"/>
          <w:marTop w:val="0"/>
          <w:marBottom w:val="0"/>
          <w:divBdr>
            <w:top w:val="none" w:sz="0" w:space="0" w:color="auto"/>
            <w:left w:val="none" w:sz="0" w:space="0" w:color="auto"/>
            <w:bottom w:val="none" w:sz="0" w:space="0" w:color="auto"/>
            <w:right w:val="none" w:sz="0" w:space="0" w:color="auto"/>
          </w:divBdr>
        </w:div>
        <w:div w:id="675502078">
          <w:marLeft w:val="547"/>
          <w:marRight w:val="0"/>
          <w:marTop w:val="0"/>
          <w:marBottom w:val="0"/>
          <w:divBdr>
            <w:top w:val="none" w:sz="0" w:space="0" w:color="auto"/>
            <w:left w:val="none" w:sz="0" w:space="0" w:color="auto"/>
            <w:bottom w:val="none" w:sz="0" w:space="0" w:color="auto"/>
            <w:right w:val="none" w:sz="0" w:space="0" w:color="auto"/>
          </w:divBdr>
        </w:div>
        <w:div w:id="2087418170">
          <w:marLeft w:val="547"/>
          <w:marRight w:val="0"/>
          <w:marTop w:val="0"/>
          <w:marBottom w:val="0"/>
          <w:divBdr>
            <w:top w:val="none" w:sz="0" w:space="0" w:color="auto"/>
            <w:left w:val="none" w:sz="0" w:space="0" w:color="auto"/>
            <w:bottom w:val="none" w:sz="0" w:space="0" w:color="auto"/>
            <w:right w:val="none" w:sz="0" w:space="0" w:color="auto"/>
          </w:divBdr>
        </w:div>
        <w:div w:id="708838434">
          <w:marLeft w:val="547"/>
          <w:marRight w:val="0"/>
          <w:marTop w:val="0"/>
          <w:marBottom w:val="0"/>
          <w:divBdr>
            <w:top w:val="none" w:sz="0" w:space="0" w:color="auto"/>
            <w:left w:val="none" w:sz="0" w:space="0" w:color="auto"/>
            <w:bottom w:val="none" w:sz="0" w:space="0" w:color="auto"/>
            <w:right w:val="none" w:sz="0" w:space="0" w:color="auto"/>
          </w:divBdr>
        </w:div>
      </w:divsChild>
    </w:div>
    <w:div w:id="447286866">
      <w:bodyDiv w:val="1"/>
      <w:marLeft w:val="0"/>
      <w:marRight w:val="0"/>
      <w:marTop w:val="0"/>
      <w:marBottom w:val="0"/>
      <w:divBdr>
        <w:top w:val="none" w:sz="0" w:space="0" w:color="auto"/>
        <w:left w:val="none" w:sz="0" w:space="0" w:color="auto"/>
        <w:bottom w:val="none" w:sz="0" w:space="0" w:color="auto"/>
        <w:right w:val="none" w:sz="0" w:space="0" w:color="auto"/>
      </w:divBdr>
    </w:div>
    <w:div w:id="574709896">
      <w:bodyDiv w:val="1"/>
      <w:marLeft w:val="0"/>
      <w:marRight w:val="0"/>
      <w:marTop w:val="0"/>
      <w:marBottom w:val="0"/>
      <w:divBdr>
        <w:top w:val="none" w:sz="0" w:space="0" w:color="auto"/>
        <w:left w:val="none" w:sz="0" w:space="0" w:color="auto"/>
        <w:bottom w:val="none" w:sz="0" w:space="0" w:color="auto"/>
        <w:right w:val="none" w:sz="0" w:space="0" w:color="auto"/>
      </w:divBdr>
    </w:div>
    <w:div w:id="591429089">
      <w:bodyDiv w:val="1"/>
      <w:marLeft w:val="0"/>
      <w:marRight w:val="0"/>
      <w:marTop w:val="0"/>
      <w:marBottom w:val="0"/>
      <w:divBdr>
        <w:top w:val="none" w:sz="0" w:space="0" w:color="auto"/>
        <w:left w:val="none" w:sz="0" w:space="0" w:color="auto"/>
        <w:bottom w:val="none" w:sz="0" w:space="0" w:color="auto"/>
        <w:right w:val="none" w:sz="0" w:space="0" w:color="auto"/>
      </w:divBdr>
      <w:divsChild>
        <w:div w:id="207646158">
          <w:marLeft w:val="547"/>
          <w:marRight w:val="0"/>
          <w:marTop w:val="0"/>
          <w:marBottom w:val="0"/>
          <w:divBdr>
            <w:top w:val="none" w:sz="0" w:space="0" w:color="auto"/>
            <w:left w:val="none" w:sz="0" w:space="0" w:color="auto"/>
            <w:bottom w:val="none" w:sz="0" w:space="0" w:color="auto"/>
            <w:right w:val="none" w:sz="0" w:space="0" w:color="auto"/>
          </w:divBdr>
        </w:div>
      </w:divsChild>
    </w:div>
    <w:div w:id="629628781">
      <w:bodyDiv w:val="1"/>
      <w:marLeft w:val="0"/>
      <w:marRight w:val="0"/>
      <w:marTop w:val="0"/>
      <w:marBottom w:val="0"/>
      <w:divBdr>
        <w:top w:val="none" w:sz="0" w:space="0" w:color="auto"/>
        <w:left w:val="none" w:sz="0" w:space="0" w:color="auto"/>
        <w:bottom w:val="none" w:sz="0" w:space="0" w:color="auto"/>
        <w:right w:val="none" w:sz="0" w:space="0" w:color="auto"/>
      </w:divBdr>
    </w:div>
    <w:div w:id="762072511">
      <w:bodyDiv w:val="1"/>
      <w:marLeft w:val="0"/>
      <w:marRight w:val="0"/>
      <w:marTop w:val="0"/>
      <w:marBottom w:val="0"/>
      <w:divBdr>
        <w:top w:val="none" w:sz="0" w:space="0" w:color="auto"/>
        <w:left w:val="none" w:sz="0" w:space="0" w:color="auto"/>
        <w:bottom w:val="none" w:sz="0" w:space="0" w:color="auto"/>
        <w:right w:val="none" w:sz="0" w:space="0" w:color="auto"/>
      </w:divBdr>
    </w:div>
    <w:div w:id="863178142">
      <w:bodyDiv w:val="1"/>
      <w:marLeft w:val="0"/>
      <w:marRight w:val="0"/>
      <w:marTop w:val="0"/>
      <w:marBottom w:val="0"/>
      <w:divBdr>
        <w:top w:val="none" w:sz="0" w:space="0" w:color="auto"/>
        <w:left w:val="none" w:sz="0" w:space="0" w:color="auto"/>
        <w:bottom w:val="none" w:sz="0" w:space="0" w:color="auto"/>
        <w:right w:val="none" w:sz="0" w:space="0" w:color="auto"/>
      </w:divBdr>
    </w:div>
    <w:div w:id="963850393">
      <w:bodyDiv w:val="1"/>
      <w:marLeft w:val="0"/>
      <w:marRight w:val="0"/>
      <w:marTop w:val="0"/>
      <w:marBottom w:val="0"/>
      <w:divBdr>
        <w:top w:val="none" w:sz="0" w:space="0" w:color="auto"/>
        <w:left w:val="none" w:sz="0" w:space="0" w:color="auto"/>
        <w:bottom w:val="none" w:sz="0" w:space="0" w:color="auto"/>
        <w:right w:val="none" w:sz="0" w:space="0" w:color="auto"/>
      </w:divBdr>
      <w:divsChild>
        <w:div w:id="892158961">
          <w:marLeft w:val="547"/>
          <w:marRight w:val="0"/>
          <w:marTop w:val="0"/>
          <w:marBottom w:val="0"/>
          <w:divBdr>
            <w:top w:val="none" w:sz="0" w:space="0" w:color="auto"/>
            <w:left w:val="none" w:sz="0" w:space="0" w:color="auto"/>
            <w:bottom w:val="none" w:sz="0" w:space="0" w:color="auto"/>
            <w:right w:val="none" w:sz="0" w:space="0" w:color="auto"/>
          </w:divBdr>
        </w:div>
        <w:div w:id="773592290">
          <w:marLeft w:val="1166"/>
          <w:marRight w:val="0"/>
          <w:marTop w:val="0"/>
          <w:marBottom w:val="0"/>
          <w:divBdr>
            <w:top w:val="none" w:sz="0" w:space="0" w:color="auto"/>
            <w:left w:val="none" w:sz="0" w:space="0" w:color="auto"/>
            <w:bottom w:val="none" w:sz="0" w:space="0" w:color="auto"/>
            <w:right w:val="none" w:sz="0" w:space="0" w:color="auto"/>
          </w:divBdr>
        </w:div>
        <w:div w:id="1052462910">
          <w:marLeft w:val="1166"/>
          <w:marRight w:val="0"/>
          <w:marTop w:val="0"/>
          <w:marBottom w:val="0"/>
          <w:divBdr>
            <w:top w:val="none" w:sz="0" w:space="0" w:color="auto"/>
            <w:left w:val="none" w:sz="0" w:space="0" w:color="auto"/>
            <w:bottom w:val="none" w:sz="0" w:space="0" w:color="auto"/>
            <w:right w:val="none" w:sz="0" w:space="0" w:color="auto"/>
          </w:divBdr>
        </w:div>
        <w:div w:id="873732900">
          <w:marLeft w:val="547"/>
          <w:marRight w:val="0"/>
          <w:marTop w:val="0"/>
          <w:marBottom w:val="0"/>
          <w:divBdr>
            <w:top w:val="none" w:sz="0" w:space="0" w:color="auto"/>
            <w:left w:val="none" w:sz="0" w:space="0" w:color="auto"/>
            <w:bottom w:val="none" w:sz="0" w:space="0" w:color="auto"/>
            <w:right w:val="none" w:sz="0" w:space="0" w:color="auto"/>
          </w:divBdr>
        </w:div>
        <w:div w:id="1757509576">
          <w:marLeft w:val="547"/>
          <w:marRight w:val="0"/>
          <w:marTop w:val="0"/>
          <w:marBottom w:val="0"/>
          <w:divBdr>
            <w:top w:val="none" w:sz="0" w:space="0" w:color="auto"/>
            <w:left w:val="none" w:sz="0" w:space="0" w:color="auto"/>
            <w:bottom w:val="none" w:sz="0" w:space="0" w:color="auto"/>
            <w:right w:val="none" w:sz="0" w:space="0" w:color="auto"/>
          </w:divBdr>
        </w:div>
        <w:div w:id="721557794">
          <w:marLeft w:val="547"/>
          <w:marRight w:val="0"/>
          <w:marTop w:val="0"/>
          <w:marBottom w:val="0"/>
          <w:divBdr>
            <w:top w:val="none" w:sz="0" w:space="0" w:color="auto"/>
            <w:left w:val="none" w:sz="0" w:space="0" w:color="auto"/>
            <w:bottom w:val="none" w:sz="0" w:space="0" w:color="auto"/>
            <w:right w:val="none" w:sz="0" w:space="0" w:color="auto"/>
          </w:divBdr>
        </w:div>
      </w:divsChild>
    </w:div>
    <w:div w:id="1146506490">
      <w:bodyDiv w:val="1"/>
      <w:marLeft w:val="0"/>
      <w:marRight w:val="0"/>
      <w:marTop w:val="0"/>
      <w:marBottom w:val="0"/>
      <w:divBdr>
        <w:top w:val="none" w:sz="0" w:space="0" w:color="auto"/>
        <w:left w:val="none" w:sz="0" w:space="0" w:color="auto"/>
        <w:bottom w:val="none" w:sz="0" w:space="0" w:color="auto"/>
        <w:right w:val="none" w:sz="0" w:space="0" w:color="auto"/>
      </w:divBdr>
    </w:div>
    <w:div w:id="1260605254">
      <w:bodyDiv w:val="1"/>
      <w:marLeft w:val="0"/>
      <w:marRight w:val="0"/>
      <w:marTop w:val="0"/>
      <w:marBottom w:val="0"/>
      <w:divBdr>
        <w:top w:val="none" w:sz="0" w:space="0" w:color="auto"/>
        <w:left w:val="none" w:sz="0" w:space="0" w:color="auto"/>
        <w:bottom w:val="none" w:sz="0" w:space="0" w:color="auto"/>
        <w:right w:val="none" w:sz="0" w:space="0" w:color="auto"/>
      </w:divBdr>
      <w:divsChild>
        <w:div w:id="290598637">
          <w:marLeft w:val="547"/>
          <w:marRight w:val="0"/>
          <w:marTop w:val="0"/>
          <w:marBottom w:val="0"/>
          <w:divBdr>
            <w:top w:val="none" w:sz="0" w:space="0" w:color="auto"/>
            <w:left w:val="none" w:sz="0" w:space="0" w:color="auto"/>
            <w:bottom w:val="none" w:sz="0" w:space="0" w:color="auto"/>
            <w:right w:val="none" w:sz="0" w:space="0" w:color="auto"/>
          </w:divBdr>
        </w:div>
        <w:div w:id="1889101975">
          <w:marLeft w:val="1166"/>
          <w:marRight w:val="0"/>
          <w:marTop w:val="0"/>
          <w:marBottom w:val="0"/>
          <w:divBdr>
            <w:top w:val="none" w:sz="0" w:space="0" w:color="auto"/>
            <w:left w:val="none" w:sz="0" w:space="0" w:color="auto"/>
            <w:bottom w:val="none" w:sz="0" w:space="0" w:color="auto"/>
            <w:right w:val="none" w:sz="0" w:space="0" w:color="auto"/>
          </w:divBdr>
        </w:div>
        <w:div w:id="455567114">
          <w:marLeft w:val="1166"/>
          <w:marRight w:val="0"/>
          <w:marTop w:val="0"/>
          <w:marBottom w:val="0"/>
          <w:divBdr>
            <w:top w:val="none" w:sz="0" w:space="0" w:color="auto"/>
            <w:left w:val="none" w:sz="0" w:space="0" w:color="auto"/>
            <w:bottom w:val="none" w:sz="0" w:space="0" w:color="auto"/>
            <w:right w:val="none" w:sz="0" w:space="0" w:color="auto"/>
          </w:divBdr>
        </w:div>
        <w:div w:id="1254777183">
          <w:marLeft w:val="547"/>
          <w:marRight w:val="0"/>
          <w:marTop w:val="0"/>
          <w:marBottom w:val="0"/>
          <w:divBdr>
            <w:top w:val="none" w:sz="0" w:space="0" w:color="auto"/>
            <w:left w:val="none" w:sz="0" w:space="0" w:color="auto"/>
            <w:bottom w:val="none" w:sz="0" w:space="0" w:color="auto"/>
            <w:right w:val="none" w:sz="0" w:space="0" w:color="auto"/>
          </w:divBdr>
        </w:div>
        <w:div w:id="14580135">
          <w:marLeft w:val="547"/>
          <w:marRight w:val="0"/>
          <w:marTop w:val="0"/>
          <w:marBottom w:val="0"/>
          <w:divBdr>
            <w:top w:val="none" w:sz="0" w:space="0" w:color="auto"/>
            <w:left w:val="none" w:sz="0" w:space="0" w:color="auto"/>
            <w:bottom w:val="none" w:sz="0" w:space="0" w:color="auto"/>
            <w:right w:val="none" w:sz="0" w:space="0" w:color="auto"/>
          </w:divBdr>
        </w:div>
        <w:div w:id="1050881005">
          <w:marLeft w:val="547"/>
          <w:marRight w:val="0"/>
          <w:marTop w:val="0"/>
          <w:marBottom w:val="0"/>
          <w:divBdr>
            <w:top w:val="none" w:sz="0" w:space="0" w:color="auto"/>
            <w:left w:val="none" w:sz="0" w:space="0" w:color="auto"/>
            <w:bottom w:val="none" w:sz="0" w:space="0" w:color="auto"/>
            <w:right w:val="none" w:sz="0" w:space="0" w:color="auto"/>
          </w:divBdr>
        </w:div>
      </w:divsChild>
    </w:div>
    <w:div w:id="1316835613">
      <w:bodyDiv w:val="1"/>
      <w:marLeft w:val="0"/>
      <w:marRight w:val="0"/>
      <w:marTop w:val="0"/>
      <w:marBottom w:val="0"/>
      <w:divBdr>
        <w:top w:val="none" w:sz="0" w:space="0" w:color="auto"/>
        <w:left w:val="none" w:sz="0" w:space="0" w:color="auto"/>
        <w:bottom w:val="none" w:sz="0" w:space="0" w:color="auto"/>
        <w:right w:val="none" w:sz="0" w:space="0" w:color="auto"/>
      </w:divBdr>
      <w:divsChild>
        <w:div w:id="1384677093">
          <w:marLeft w:val="547"/>
          <w:marRight w:val="0"/>
          <w:marTop w:val="0"/>
          <w:marBottom w:val="0"/>
          <w:divBdr>
            <w:top w:val="none" w:sz="0" w:space="0" w:color="auto"/>
            <w:left w:val="none" w:sz="0" w:space="0" w:color="auto"/>
            <w:bottom w:val="none" w:sz="0" w:space="0" w:color="auto"/>
            <w:right w:val="none" w:sz="0" w:space="0" w:color="auto"/>
          </w:divBdr>
        </w:div>
        <w:div w:id="274674047">
          <w:marLeft w:val="1166"/>
          <w:marRight w:val="0"/>
          <w:marTop w:val="0"/>
          <w:marBottom w:val="0"/>
          <w:divBdr>
            <w:top w:val="none" w:sz="0" w:space="0" w:color="auto"/>
            <w:left w:val="none" w:sz="0" w:space="0" w:color="auto"/>
            <w:bottom w:val="none" w:sz="0" w:space="0" w:color="auto"/>
            <w:right w:val="none" w:sz="0" w:space="0" w:color="auto"/>
          </w:divBdr>
        </w:div>
        <w:div w:id="142089912">
          <w:marLeft w:val="1166"/>
          <w:marRight w:val="0"/>
          <w:marTop w:val="0"/>
          <w:marBottom w:val="0"/>
          <w:divBdr>
            <w:top w:val="none" w:sz="0" w:space="0" w:color="auto"/>
            <w:left w:val="none" w:sz="0" w:space="0" w:color="auto"/>
            <w:bottom w:val="none" w:sz="0" w:space="0" w:color="auto"/>
            <w:right w:val="none" w:sz="0" w:space="0" w:color="auto"/>
          </w:divBdr>
        </w:div>
        <w:div w:id="1983079380">
          <w:marLeft w:val="547"/>
          <w:marRight w:val="0"/>
          <w:marTop w:val="0"/>
          <w:marBottom w:val="0"/>
          <w:divBdr>
            <w:top w:val="none" w:sz="0" w:space="0" w:color="auto"/>
            <w:left w:val="none" w:sz="0" w:space="0" w:color="auto"/>
            <w:bottom w:val="none" w:sz="0" w:space="0" w:color="auto"/>
            <w:right w:val="none" w:sz="0" w:space="0" w:color="auto"/>
          </w:divBdr>
        </w:div>
        <w:div w:id="127357824">
          <w:marLeft w:val="547"/>
          <w:marRight w:val="0"/>
          <w:marTop w:val="0"/>
          <w:marBottom w:val="0"/>
          <w:divBdr>
            <w:top w:val="none" w:sz="0" w:space="0" w:color="auto"/>
            <w:left w:val="none" w:sz="0" w:space="0" w:color="auto"/>
            <w:bottom w:val="none" w:sz="0" w:space="0" w:color="auto"/>
            <w:right w:val="none" w:sz="0" w:space="0" w:color="auto"/>
          </w:divBdr>
        </w:div>
        <w:div w:id="61608793">
          <w:marLeft w:val="547"/>
          <w:marRight w:val="0"/>
          <w:marTop w:val="0"/>
          <w:marBottom w:val="0"/>
          <w:divBdr>
            <w:top w:val="none" w:sz="0" w:space="0" w:color="auto"/>
            <w:left w:val="none" w:sz="0" w:space="0" w:color="auto"/>
            <w:bottom w:val="none" w:sz="0" w:space="0" w:color="auto"/>
            <w:right w:val="none" w:sz="0" w:space="0" w:color="auto"/>
          </w:divBdr>
        </w:div>
        <w:div w:id="491146265">
          <w:marLeft w:val="547"/>
          <w:marRight w:val="0"/>
          <w:marTop w:val="0"/>
          <w:marBottom w:val="0"/>
          <w:divBdr>
            <w:top w:val="none" w:sz="0" w:space="0" w:color="auto"/>
            <w:left w:val="none" w:sz="0" w:space="0" w:color="auto"/>
            <w:bottom w:val="none" w:sz="0" w:space="0" w:color="auto"/>
            <w:right w:val="none" w:sz="0" w:space="0" w:color="auto"/>
          </w:divBdr>
        </w:div>
        <w:div w:id="2084065677">
          <w:marLeft w:val="547"/>
          <w:marRight w:val="0"/>
          <w:marTop w:val="0"/>
          <w:marBottom w:val="0"/>
          <w:divBdr>
            <w:top w:val="none" w:sz="0" w:space="0" w:color="auto"/>
            <w:left w:val="none" w:sz="0" w:space="0" w:color="auto"/>
            <w:bottom w:val="none" w:sz="0" w:space="0" w:color="auto"/>
            <w:right w:val="none" w:sz="0" w:space="0" w:color="auto"/>
          </w:divBdr>
        </w:div>
        <w:div w:id="789862225">
          <w:marLeft w:val="547"/>
          <w:marRight w:val="0"/>
          <w:marTop w:val="0"/>
          <w:marBottom w:val="0"/>
          <w:divBdr>
            <w:top w:val="none" w:sz="0" w:space="0" w:color="auto"/>
            <w:left w:val="none" w:sz="0" w:space="0" w:color="auto"/>
            <w:bottom w:val="none" w:sz="0" w:space="0" w:color="auto"/>
            <w:right w:val="none" w:sz="0" w:space="0" w:color="auto"/>
          </w:divBdr>
        </w:div>
      </w:divsChild>
    </w:div>
    <w:div w:id="1321428345">
      <w:bodyDiv w:val="1"/>
      <w:marLeft w:val="0"/>
      <w:marRight w:val="0"/>
      <w:marTop w:val="0"/>
      <w:marBottom w:val="0"/>
      <w:divBdr>
        <w:top w:val="none" w:sz="0" w:space="0" w:color="auto"/>
        <w:left w:val="none" w:sz="0" w:space="0" w:color="auto"/>
        <w:bottom w:val="none" w:sz="0" w:space="0" w:color="auto"/>
        <w:right w:val="none" w:sz="0" w:space="0" w:color="auto"/>
      </w:divBdr>
      <w:divsChild>
        <w:div w:id="1413771696">
          <w:marLeft w:val="547"/>
          <w:marRight w:val="0"/>
          <w:marTop w:val="0"/>
          <w:marBottom w:val="0"/>
          <w:divBdr>
            <w:top w:val="none" w:sz="0" w:space="0" w:color="auto"/>
            <w:left w:val="none" w:sz="0" w:space="0" w:color="auto"/>
            <w:bottom w:val="none" w:sz="0" w:space="0" w:color="auto"/>
            <w:right w:val="none" w:sz="0" w:space="0" w:color="auto"/>
          </w:divBdr>
        </w:div>
        <w:div w:id="1748764644">
          <w:marLeft w:val="547"/>
          <w:marRight w:val="0"/>
          <w:marTop w:val="0"/>
          <w:marBottom w:val="0"/>
          <w:divBdr>
            <w:top w:val="none" w:sz="0" w:space="0" w:color="auto"/>
            <w:left w:val="none" w:sz="0" w:space="0" w:color="auto"/>
            <w:bottom w:val="none" w:sz="0" w:space="0" w:color="auto"/>
            <w:right w:val="none" w:sz="0" w:space="0" w:color="auto"/>
          </w:divBdr>
        </w:div>
        <w:div w:id="1808400579">
          <w:marLeft w:val="547"/>
          <w:marRight w:val="0"/>
          <w:marTop w:val="0"/>
          <w:marBottom w:val="0"/>
          <w:divBdr>
            <w:top w:val="none" w:sz="0" w:space="0" w:color="auto"/>
            <w:left w:val="none" w:sz="0" w:space="0" w:color="auto"/>
            <w:bottom w:val="none" w:sz="0" w:space="0" w:color="auto"/>
            <w:right w:val="none" w:sz="0" w:space="0" w:color="auto"/>
          </w:divBdr>
        </w:div>
        <w:div w:id="1971473650">
          <w:marLeft w:val="547"/>
          <w:marRight w:val="0"/>
          <w:marTop w:val="0"/>
          <w:marBottom w:val="0"/>
          <w:divBdr>
            <w:top w:val="none" w:sz="0" w:space="0" w:color="auto"/>
            <w:left w:val="none" w:sz="0" w:space="0" w:color="auto"/>
            <w:bottom w:val="none" w:sz="0" w:space="0" w:color="auto"/>
            <w:right w:val="none" w:sz="0" w:space="0" w:color="auto"/>
          </w:divBdr>
        </w:div>
        <w:div w:id="2028677312">
          <w:marLeft w:val="547"/>
          <w:marRight w:val="0"/>
          <w:marTop w:val="0"/>
          <w:marBottom w:val="0"/>
          <w:divBdr>
            <w:top w:val="none" w:sz="0" w:space="0" w:color="auto"/>
            <w:left w:val="none" w:sz="0" w:space="0" w:color="auto"/>
            <w:bottom w:val="none" w:sz="0" w:space="0" w:color="auto"/>
            <w:right w:val="none" w:sz="0" w:space="0" w:color="auto"/>
          </w:divBdr>
        </w:div>
      </w:divsChild>
    </w:div>
    <w:div w:id="1328167696">
      <w:bodyDiv w:val="1"/>
      <w:marLeft w:val="0"/>
      <w:marRight w:val="0"/>
      <w:marTop w:val="0"/>
      <w:marBottom w:val="0"/>
      <w:divBdr>
        <w:top w:val="none" w:sz="0" w:space="0" w:color="auto"/>
        <w:left w:val="none" w:sz="0" w:space="0" w:color="auto"/>
        <w:bottom w:val="none" w:sz="0" w:space="0" w:color="auto"/>
        <w:right w:val="none" w:sz="0" w:space="0" w:color="auto"/>
      </w:divBdr>
      <w:divsChild>
        <w:div w:id="26683703">
          <w:marLeft w:val="547"/>
          <w:marRight w:val="0"/>
          <w:marTop w:val="0"/>
          <w:marBottom w:val="0"/>
          <w:divBdr>
            <w:top w:val="none" w:sz="0" w:space="0" w:color="auto"/>
            <w:left w:val="none" w:sz="0" w:space="0" w:color="auto"/>
            <w:bottom w:val="none" w:sz="0" w:space="0" w:color="auto"/>
            <w:right w:val="none" w:sz="0" w:space="0" w:color="auto"/>
          </w:divBdr>
        </w:div>
        <w:div w:id="915474659">
          <w:marLeft w:val="1166"/>
          <w:marRight w:val="0"/>
          <w:marTop w:val="0"/>
          <w:marBottom w:val="0"/>
          <w:divBdr>
            <w:top w:val="none" w:sz="0" w:space="0" w:color="auto"/>
            <w:left w:val="none" w:sz="0" w:space="0" w:color="auto"/>
            <w:bottom w:val="none" w:sz="0" w:space="0" w:color="auto"/>
            <w:right w:val="none" w:sz="0" w:space="0" w:color="auto"/>
          </w:divBdr>
        </w:div>
        <w:div w:id="444160955">
          <w:marLeft w:val="1166"/>
          <w:marRight w:val="0"/>
          <w:marTop w:val="0"/>
          <w:marBottom w:val="0"/>
          <w:divBdr>
            <w:top w:val="none" w:sz="0" w:space="0" w:color="auto"/>
            <w:left w:val="none" w:sz="0" w:space="0" w:color="auto"/>
            <w:bottom w:val="none" w:sz="0" w:space="0" w:color="auto"/>
            <w:right w:val="none" w:sz="0" w:space="0" w:color="auto"/>
          </w:divBdr>
        </w:div>
        <w:div w:id="1108088189">
          <w:marLeft w:val="547"/>
          <w:marRight w:val="0"/>
          <w:marTop w:val="0"/>
          <w:marBottom w:val="0"/>
          <w:divBdr>
            <w:top w:val="none" w:sz="0" w:space="0" w:color="auto"/>
            <w:left w:val="none" w:sz="0" w:space="0" w:color="auto"/>
            <w:bottom w:val="none" w:sz="0" w:space="0" w:color="auto"/>
            <w:right w:val="none" w:sz="0" w:space="0" w:color="auto"/>
          </w:divBdr>
        </w:div>
        <w:div w:id="1942451040">
          <w:marLeft w:val="547"/>
          <w:marRight w:val="0"/>
          <w:marTop w:val="0"/>
          <w:marBottom w:val="0"/>
          <w:divBdr>
            <w:top w:val="none" w:sz="0" w:space="0" w:color="auto"/>
            <w:left w:val="none" w:sz="0" w:space="0" w:color="auto"/>
            <w:bottom w:val="none" w:sz="0" w:space="0" w:color="auto"/>
            <w:right w:val="none" w:sz="0" w:space="0" w:color="auto"/>
          </w:divBdr>
        </w:div>
        <w:div w:id="910969276">
          <w:marLeft w:val="547"/>
          <w:marRight w:val="0"/>
          <w:marTop w:val="0"/>
          <w:marBottom w:val="0"/>
          <w:divBdr>
            <w:top w:val="none" w:sz="0" w:space="0" w:color="auto"/>
            <w:left w:val="none" w:sz="0" w:space="0" w:color="auto"/>
            <w:bottom w:val="none" w:sz="0" w:space="0" w:color="auto"/>
            <w:right w:val="none" w:sz="0" w:space="0" w:color="auto"/>
          </w:divBdr>
        </w:div>
        <w:div w:id="1891766263">
          <w:marLeft w:val="547"/>
          <w:marRight w:val="0"/>
          <w:marTop w:val="0"/>
          <w:marBottom w:val="0"/>
          <w:divBdr>
            <w:top w:val="none" w:sz="0" w:space="0" w:color="auto"/>
            <w:left w:val="none" w:sz="0" w:space="0" w:color="auto"/>
            <w:bottom w:val="none" w:sz="0" w:space="0" w:color="auto"/>
            <w:right w:val="none" w:sz="0" w:space="0" w:color="auto"/>
          </w:divBdr>
        </w:div>
        <w:div w:id="1714842725">
          <w:marLeft w:val="547"/>
          <w:marRight w:val="0"/>
          <w:marTop w:val="0"/>
          <w:marBottom w:val="0"/>
          <w:divBdr>
            <w:top w:val="none" w:sz="0" w:space="0" w:color="auto"/>
            <w:left w:val="none" w:sz="0" w:space="0" w:color="auto"/>
            <w:bottom w:val="none" w:sz="0" w:space="0" w:color="auto"/>
            <w:right w:val="none" w:sz="0" w:space="0" w:color="auto"/>
          </w:divBdr>
        </w:div>
        <w:div w:id="1587424711">
          <w:marLeft w:val="547"/>
          <w:marRight w:val="0"/>
          <w:marTop w:val="0"/>
          <w:marBottom w:val="0"/>
          <w:divBdr>
            <w:top w:val="none" w:sz="0" w:space="0" w:color="auto"/>
            <w:left w:val="none" w:sz="0" w:space="0" w:color="auto"/>
            <w:bottom w:val="none" w:sz="0" w:space="0" w:color="auto"/>
            <w:right w:val="none" w:sz="0" w:space="0" w:color="auto"/>
          </w:divBdr>
        </w:div>
      </w:divsChild>
    </w:div>
    <w:div w:id="1348361063">
      <w:bodyDiv w:val="1"/>
      <w:marLeft w:val="0"/>
      <w:marRight w:val="0"/>
      <w:marTop w:val="0"/>
      <w:marBottom w:val="0"/>
      <w:divBdr>
        <w:top w:val="none" w:sz="0" w:space="0" w:color="auto"/>
        <w:left w:val="none" w:sz="0" w:space="0" w:color="auto"/>
        <w:bottom w:val="none" w:sz="0" w:space="0" w:color="auto"/>
        <w:right w:val="none" w:sz="0" w:space="0" w:color="auto"/>
      </w:divBdr>
    </w:div>
    <w:div w:id="1420249854">
      <w:bodyDiv w:val="1"/>
      <w:marLeft w:val="0"/>
      <w:marRight w:val="0"/>
      <w:marTop w:val="0"/>
      <w:marBottom w:val="0"/>
      <w:divBdr>
        <w:top w:val="none" w:sz="0" w:space="0" w:color="auto"/>
        <w:left w:val="none" w:sz="0" w:space="0" w:color="auto"/>
        <w:bottom w:val="none" w:sz="0" w:space="0" w:color="auto"/>
        <w:right w:val="none" w:sz="0" w:space="0" w:color="auto"/>
      </w:divBdr>
    </w:div>
    <w:div w:id="1483353467">
      <w:bodyDiv w:val="1"/>
      <w:marLeft w:val="0"/>
      <w:marRight w:val="0"/>
      <w:marTop w:val="0"/>
      <w:marBottom w:val="0"/>
      <w:divBdr>
        <w:top w:val="none" w:sz="0" w:space="0" w:color="auto"/>
        <w:left w:val="none" w:sz="0" w:space="0" w:color="auto"/>
        <w:bottom w:val="none" w:sz="0" w:space="0" w:color="auto"/>
        <w:right w:val="none" w:sz="0" w:space="0" w:color="auto"/>
      </w:divBdr>
    </w:div>
    <w:div w:id="1522889336">
      <w:bodyDiv w:val="1"/>
      <w:marLeft w:val="0"/>
      <w:marRight w:val="0"/>
      <w:marTop w:val="0"/>
      <w:marBottom w:val="0"/>
      <w:divBdr>
        <w:top w:val="none" w:sz="0" w:space="0" w:color="auto"/>
        <w:left w:val="none" w:sz="0" w:space="0" w:color="auto"/>
        <w:bottom w:val="none" w:sz="0" w:space="0" w:color="auto"/>
        <w:right w:val="none" w:sz="0" w:space="0" w:color="auto"/>
      </w:divBdr>
      <w:divsChild>
        <w:div w:id="272903964">
          <w:marLeft w:val="547"/>
          <w:marRight w:val="0"/>
          <w:marTop w:val="0"/>
          <w:marBottom w:val="0"/>
          <w:divBdr>
            <w:top w:val="none" w:sz="0" w:space="0" w:color="auto"/>
            <w:left w:val="none" w:sz="0" w:space="0" w:color="auto"/>
            <w:bottom w:val="none" w:sz="0" w:space="0" w:color="auto"/>
            <w:right w:val="none" w:sz="0" w:space="0" w:color="auto"/>
          </w:divBdr>
        </w:div>
        <w:div w:id="34622041">
          <w:marLeft w:val="1166"/>
          <w:marRight w:val="0"/>
          <w:marTop w:val="0"/>
          <w:marBottom w:val="0"/>
          <w:divBdr>
            <w:top w:val="none" w:sz="0" w:space="0" w:color="auto"/>
            <w:left w:val="none" w:sz="0" w:space="0" w:color="auto"/>
            <w:bottom w:val="none" w:sz="0" w:space="0" w:color="auto"/>
            <w:right w:val="none" w:sz="0" w:space="0" w:color="auto"/>
          </w:divBdr>
        </w:div>
        <w:div w:id="248776762">
          <w:marLeft w:val="1166"/>
          <w:marRight w:val="0"/>
          <w:marTop w:val="0"/>
          <w:marBottom w:val="0"/>
          <w:divBdr>
            <w:top w:val="none" w:sz="0" w:space="0" w:color="auto"/>
            <w:left w:val="none" w:sz="0" w:space="0" w:color="auto"/>
            <w:bottom w:val="none" w:sz="0" w:space="0" w:color="auto"/>
            <w:right w:val="none" w:sz="0" w:space="0" w:color="auto"/>
          </w:divBdr>
        </w:div>
        <w:div w:id="17199663">
          <w:marLeft w:val="547"/>
          <w:marRight w:val="0"/>
          <w:marTop w:val="0"/>
          <w:marBottom w:val="0"/>
          <w:divBdr>
            <w:top w:val="none" w:sz="0" w:space="0" w:color="auto"/>
            <w:left w:val="none" w:sz="0" w:space="0" w:color="auto"/>
            <w:bottom w:val="none" w:sz="0" w:space="0" w:color="auto"/>
            <w:right w:val="none" w:sz="0" w:space="0" w:color="auto"/>
          </w:divBdr>
        </w:div>
        <w:div w:id="1995520827">
          <w:marLeft w:val="547"/>
          <w:marRight w:val="0"/>
          <w:marTop w:val="0"/>
          <w:marBottom w:val="0"/>
          <w:divBdr>
            <w:top w:val="none" w:sz="0" w:space="0" w:color="auto"/>
            <w:left w:val="none" w:sz="0" w:space="0" w:color="auto"/>
            <w:bottom w:val="none" w:sz="0" w:space="0" w:color="auto"/>
            <w:right w:val="none" w:sz="0" w:space="0" w:color="auto"/>
          </w:divBdr>
        </w:div>
        <w:div w:id="382828139">
          <w:marLeft w:val="547"/>
          <w:marRight w:val="0"/>
          <w:marTop w:val="0"/>
          <w:marBottom w:val="0"/>
          <w:divBdr>
            <w:top w:val="none" w:sz="0" w:space="0" w:color="auto"/>
            <w:left w:val="none" w:sz="0" w:space="0" w:color="auto"/>
            <w:bottom w:val="none" w:sz="0" w:space="0" w:color="auto"/>
            <w:right w:val="none" w:sz="0" w:space="0" w:color="auto"/>
          </w:divBdr>
        </w:div>
        <w:div w:id="439954624">
          <w:marLeft w:val="547"/>
          <w:marRight w:val="0"/>
          <w:marTop w:val="0"/>
          <w:marBottom w:val="0"/>
          <w:divBdr>
            <w:top w:val="none" w:sz="0" w:space="0" w:color="auto"/>
            <w:left w:val="none" w:sz="0" w:space="0" w:color="auto"/>
            <w:bottom w:val="none" w:sz="0" w:space="0" w:color="auto"/>
            <w:right w:val="none" w:sz="0" w:space="0" w:color="auto"/>
          </w:divBdr>
        </w:div>
      </w:divsChild>
    </w:div>
    <w:div w:id="1646276952">
      <w:bodyDiv w:val="1"/>
      <w:marLeft w:val="0"/>
      <w:marRight w:val="0"/>
      <w:marTop w:val="0"/>
      <w:marBottom w:val="0"/>
      <w:divBdr>
        <w:top w:val="none" w:sz="0" w:space="0" w:color="auto"/>
        <w:left w:val="none" w:sz="0" w:space="0" w:color="auto"/>
        <w:bottom w:val="none" w:sz="0" w:space="0" w:color="auto"/>
        <w:right w:val="none" w:sz="0" w:space="0" w:color="auto"/>
      </w:divBdr>
    </w:div>
    <w:div w:id="1654724300">
      <w:bodyDiv w:val="1"/>
      <w:marLeft w:val="0"/>
      <w:marRight w:val="0"/>
      <w:marTop w:val="0"/>
      <w:marBottom w:val="0"/>
      <w:divBdr>
        <w:top w:val="none" w:sz="0" w:space="0" w:color="auto"/>
        <w:left w:val="none" w:sz="0" w:space="0" w:color="auto"/>
        <w:bottom w:val="none" w:sz="0" w:space="0" w:color="auto"/>
        <w:right w:val="none" w:sz="0" w:space="0" w:color="auto"/>
      </w:divBdr>
      <w:divsChild>
        <w:div w:id="856700828">
          <w:marLeft w:val="547"/>
          <w:marRight w:val="0"/>
          <w:marTop w:val="0"/>
          <w:marBottom w:val="0"/>
          <w:divBdr>
            <w:top w:val="none" w:sz="0" w:space="0" w:color="auto"/>
            <w:left w:val="none" w:sz="0" w:space="0" w:color="auto"/>
            <w:bottom w:val="none" w:sz="0" w:space="0" w:color="auto"/>
            <w:right w:val="none" w:sz="0" w:space="0" w:color="auto"/>
          </w:divBdr>
        </w:div>
        <w:div w:id="1487286622">
          <w:marLeft w:val="1166"/>
          <w:marRight w:val="0"/>
          <w:marTop w:val="0"/>
          <w:marBottom w:val="0"/>
          <w:divBdr>
            <w:top w:val="none" w:sz="0" w:space="0" w:color="auto"/>
            <w:left w:val="none" w:sz="0" w:space="0" w:color="auto"/>
            <w:bottom w:val="none" w:sz="0" w:space="0" w:color="auto"/>
            <w:right w:val="none" w:sz="0" w:space="0" w:color="auto"/>
          </w:divBdr>
        </w:div>
        <w:div w:id="1378772307">
          <w:marLeft w:val="1166"/>
          <w:marRight w:val="0"/>
          <w:marTop w:val="0"/>
          <w:marBottom w:val="0"/>
          <w:divBdr>
            <w:top w:val="none" w:sz="0" w:space="0" w:color="auto"/>
            <w:left w:val="none" w:sz="0" w:space="0" w:color="auto"/>
            <w:bottom w:val="none" w:sz="0" w:space="0" w:color="auto"/>
            <w:right w:val="none" w:sz="0" w:space="0" w:color="auto"/>
          </w:divBdr>
        </w:div>
        <w:div w:id="2011789681">
          <w:marLeft w:val="547"/>
          <w:marRight w:val="0"/>
          <w:marTop w:val="0"/>
          <w:marBottom w:val="0"/>
          <w:divBdr>
            <w:top w:val="none" w:sz="0" w:space="0" w:color="auto"/>
            <w:left w:val="none" w:sz="0" w:space="0" w:color="auto"/>
            <w:bottom w:val="none" w:sz="0" w:space="0" w:color="auto"/>
            <w:right w:val="none" w:sz="0" w:space="0" w:color="auto"/>
          </w:divBdr>
        </w:div>
        <w:div w:id="1856579749">
          <w:marLeft w:val="547"/>
          <w:marRight w:val="0"/>
          <w:marTop w:val="0"/>
          <w:marBottom w:val="0"/>
          <w:divBdr>
            <w:top w:val="none" w:sz="0" w:space="0" w:color="auto"/>
            <w:left w:val="none" w:sz="0" w:space="0" w:color="auto"/>
            <w:bottom w:val="none" w:sz="0" w:space="0" w:color="auto"/>
            <w:right w:val="none" w:sz="0" w:space="0" w:color="auto"/>
          </w:divBdr>
        </w:div>
        <w:div w:id="2075153635">
          <w:marLeft w:val="547"/>
          <w:marRight w:val="0"/>
          <w:marTop w:val="0"/>
          <w:marBottom w:val="0"/>
          <w:divBdr>
            <w:top w:val="none" w:sz="0" w:space="0" w:color="auto"/>
            <w:left w:val="none" w:sz="0" w:space="0" w:color="auto"/>
            <w:bottom w:val="none" w:sz="0" w:space="0" w:color="auto"/>
            <w:right w:val="none" w:sz="0" w:space="0" w:color="auto"/>
          </w:divBdr>
        </w:div>
        <w:div w:id="682635542">
          <w:marLeft w:val="547"/>
          <w:marRight w:val="0"/>
          <w:marTop w:val="0"/>
          <w:marBottom w:val="0"/>
          <w:divBdr>
            <w:top w:val="none" w:sz="0" w:space="0" w:color="auto"/>
            <w:left w:val="none" w:sz="0" w:space="0" w:color="auto"/>
            <w:bottom w:val="none" w:sz="0" w:space="0" w:color="auto"/>
            <w:right w:val="none" w:sz="0" w:space="0" w:color="auto"/>
          </w:divBdr>
        </w:div>
        <w:div w:id="78721282">
          <w:marLeft w:val="547"/>
          <w:marRight w:val="0"/>
          <w:marTop w:val="0"/>
          <w:marBottom w:val="0"/>
          <w:divBdr>
            <w:top w:val="none" w:sz="0" w:space="0" w:color="auto"/>
            <w:left w:val="none" w:sz="0" w:space="0" w:color="auto"/>
            <w:bottom w:val="none" w:sz="0" w:space="0" w:color="auto"/>
            <w:right w:val="none" w:sz="0" w:space="0" w:color="auto"/>
          </w:divBdr>
        </w:div>
        <w:div w:id="2175239">
          <w:marLeft w:val="547"/>
          <w:marRight w:val="0"/>
          <w:marTop w:val="0"/>
          <w:marBottom w:val="0"/>
          <w:divBdr>
            <w:top w:val="none" w:sz="0" w:space="0" w:color="auto"/>
            <w:left w:val="none" w:sz="0" w:space="0" w:color="auto"/>
            <w:bottom w:val="none" w:sz="0" w:space="0" w:color="auto"/>
            <w:right w:val="none" w:sz="0" w:space="0" w:color="auto"/>
          </w:divBdr>
        </w:div>
      </w:divsChild>
    </w:div>
    <w:div w:id="1722171881">
      <w:bodyDiv w:val="1"/>
      <w:marLeft w:val="0"/>
      <w:marRight w:val="0"/>
      <w:marTop w:val="0"/>
      <w:marBottom w:val="0"/>
      <w:divBdr>
        <w:top w:val="none" w:sz="0" w:space="0" w:color="auto"/>
        <w:left w:val="none" w:sz="0" w:space="0" w:color="auto"/>
        <w:bottom w:val="none" w:sz="0" w:space="0" w:color="auto"/>
        <w:right w:val="none" w:sz="0" w:space="0" w:color="auto"/>
      </w:divBdr>
    </w:div>
    <w:div w:id="1757628519">
      <w:bodyDiv w:val="1"/>
      <w:marLeft w:val="0"/>
      <w:marRight w:val="0"/>
      <w:marTop w:val="0"/>
      <w:marBottom w:val="0"/>
      <w:divBdr>
        <w:top w:val="none" w:sz="0" w:space="0" w:color="auto"/>
        <w:left w:val="none" w:sz="0" w:space="0" w:color="auto"/>
        <w:bottom w:val="none" w:sz="0" w:space="0" w:color="auto"/>
        <w:right w:val="none" w:sz="0" w:space="0" w:color="auto"/>
      </w:divBdr>
    </w:div>
    <w:div w:id="1885479130">
      <w:bodyDiv w:val="1"/>
      <w:marLeft w:val="0"/>
      <w:marRight w:val="0"/>
      <w:marTop w:val="0"/>
      <w:marBottom w:val="0"/>
      <w:divBdr>
        <w:top w:val="none" w:sz="0" w:space="0" w:color="auto"/>
        <w:left w:val="none" w:sz="0" w:space="0" w:color="auto"/>
        <w:bottom w:val="none" w:sz="0" w:space="0" w:color="auto"/>
        <w:right w:val="none" w:sz="0" w:space="0" w:color="auto"/>
      </w:divBdr>
      <w:divsChild>
        <w:div w:id="1411191866">
          <w:marLeft w:val="547"/>
          <w:marRight w:val="0"/>
          <w:marTop w:val="0"/>
          <w:marBottom w:val="0"/>
          <w:divBdr>
            <w:top w:val="none" w:sz="0" w:space="0" w:color="auto"/>
            <w:left w:val="none" w:sz="0" w:space="0" w:color="auto"/>
            <w:bottom w:val="none" w:sz="0" w:space="0" w:color="auto"/>
            <w:right w:val="none" w:sz="0" w:space="0" w:color="auto"/>
          </w:divBdr>
        </w:div>
        <w:div w:id="1238439153">
          <w:marLeft w:val="1166"/>
          <w:marRight w:val="0"/>
          <w:marTop w:val="0"/>
          <w:marBottom w:val="0"/>
          <w:divBdr>
            <w:top w:val="none" w:sz="0" w:space="0" w:color="auto"/>
            <w:left w:val="none" w:sz="0" w:space="0" w:color="auto"/>
            <w:bottom w:val="none" w:sz="0" w:space="0" w:color="auto"/>
            <w:right w:val="none" w:sz="0" w:space="0" w:color="auto"/>
          </w:divBdr>
        </w:div>
        <w:div w:id="1176919940">
          <w:marLeft w:val="1166"/>
          <w:marRight w:val="0"/>
          <w:marTop w:val="0"/>
          <w:marBottom w:val="0"/>
          <w:divBdr>
            <w:top w:val="none" w:sz="0" w:space="0" w:color="auto"/>
            <w:left w:val="none" w:sz="0" w:space="0" w:color="auto"/>
            <w:bottom w:val="none" w:sz="0" w:space="0" w:color="auto"/>
            <w:right w:val="none" w:sz="0" w:space="0" w:color="auto"/>
          </w:divBdr>
        </w:div>
        <w:div w:id="2146770461">
          <w:marLeft w:val="547"/>
          <w:marRight w:val="0"/>
          <w:marTop w:val="0"/>
          <w:marBottom w:val="0"/>
          <w:divBdr>
            <w:top w:val="none" w:sz="0" w:space="0" w:color="auto"/>
            <w:left w:val="none" w:sz="0" w:space="0" w:color="auto"/>
            <w:bottom w:val="none" w:sz="0" w:space="0" w:color="auto"/>
            <w:right w:val="none" w:sz="0" w:space="0" w:color="auto"/>
          </w:divBdr>
        </w:div>
        <w:div w:id="1919754264">
          <w:marLeft w:val="547"/>
          <w:marRight w:val="0"/>
          <w:marTop w:val="0"/>
          <w:marBottom w:val="0"/>
          <w:divBdr>
            <w:top w:val="none" w:sz="0" w:space="0" w:color="auto"/>
            <w:left w:val="none" w:sz="0" w:space="0" w:color="auto"/>
            <w:bottom w:val="none" w:sz="0" w:space="0" w:color="auto"/>
            <w:right w:val="none" w:sz="0" w:space="0" w:color="auto"/>
          </w:divBdr>
        </w:div>
        <w:div w:id="1904217156">
          <w:marLeft w:val="547"/>
          <w:marRight w:val="0"/>
          <w:marTop w:val="0"/>
          <w:marBottom w:val="0"/>
          <w:divBdr>
            <w:top w:val="none" w:sz="0" w:space="0" w:color="auto"/>
            <w:left w:val="none" w:sz="0" w:space="0" w:color="auto"/>
            <w:bottom w:val="none" w:sz="0" w:space="0" w:color="auto"/>
            <w:right w:val="none" w:sz="0" w:space="0" w:color="auto"/>
          </w:divBdr>
        </w:div>
        <w:div w:id="942955369">
          <w:marLeft w:val="547"/>
          <w:marRight w:val="0"/>
          <w:marTop w:val="0"/>
          <w:marBottom w:val="0"/>
          <w:divBdr>
            <w:top w:val="none" w:sz="0" w:space="0" w:color="auto"/>
            <w:left w:val="none" w:sz="0" w:space="0" w:color="auto"/>
            <w:bottom w:val="none" w:sz="0" w:space="0" w:color="auto"/>
            <w:right w:val="none" w:sz="0" w:space="0" w:color="auto"/>
          </w:divBdr>
        </w:div>
      </w:divsChild>
    </w:div>
    <w:div w:id="19043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ashp.org/webinar/what-you-can-do-today-and-tomorrow-improve-cervicalcancer-screen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spreventiveservicestaskforce.org/Page/Document/RecommendationStatementFinal/cervical-cancer-screen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mprovingchroniccare.org/index.php?p=The_Chronic_CareModel&amp;s=2"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ancer.org/acs/groups/cid/documents/webcontent/003167-pdf.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nnals.org/article.aspx?articleid=2446187" TargetMode="External"/><Relationship Id="rId2" Type="http://schemas.openxmlformats.org/officeDocument/2006/relationships/hyperlink" Target="http://annals.org/article.aspx?articleid=2446187" TargetMode="External"/><Relationship Id="rId1" Type="http://schemas.openxmlformats.org/officeDocument/2006/relationships/hyperlink" Target="http://www.uspreventiveservicestaskforce.org/Page/Document/RecommendationStatementFinal/cervical-cancer-screening" TargetMode="External"/><Relationship Id="rId5" Type="http://schemas.openxmlformats.org/officeDocument/2006/relationships/hyperlink" Target="http://www.ncbi.nlm.nih.gov/entrez/eutils/elink.fcgi?dbfrom=pubmed&amp;retmode=ref&amp;cmd=prlinks&amp;id=25099895" TargetMode="External"/><Relationship Id="rId4" Type="http://schemas.openxmlformats.org/officeDocument/2006/relationships/hyperlink" Target="http://cebp.aacrjournals.org/content/early/2015/10/13/1055-9965.EPI-15-0326.abstr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1E233B4BA184EB79E9C488682C258" ma:contentTypeVersion="7" ma:contentTypeDescription="Create a new document." ma:contentTypeScope="" ma:versionID="e412f537a13d9042130fb5e49b6a0d34">
  <xsd:schema xmlns:xsd="http://www.w3.org/2001/XMLSchema" xmlns:xs="http://www.w3.org/2001/XMLSchema" xmlns:p="http://schemas.microsoft.com/office/2006/metadata/properties" xmlns:ns2="eb0a054c-7c3a-4fc3-926a-28efc966ef6c" targetNamespace="http://schemas.microsoft.com/office/2006/metadata/properties" ma:root="true" ma:fieldsID="d7df3d145a0357777d65b02cc06fe3f0" ns2:_="">
    <xsd:import namespace="eb0a054c-7c3a-4fc3-926a-28efc966ef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054c-7c3a-4fc3-926a-28efc966ef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b0a054c-7c3a-4fc3-926a-28efc966ef6c">WFWFY2MWQ5XF-575-10597</_dlc_DocId>
    <_dlc_DocIdUrl xmlns="eb0a054c-7c3a-4fc3-926a-28efc966ef6c">
      <Url>http://teams/medman/qualityimprovement/_layouts/15/DocIdRedir.aspx?ID=WFWFY2MWQ5XF-575-10597</Url>
      <Description>WFWFY2MWQ5XF-575-10597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012F-E04B-4EF0-B006-462A4F27CE90}"/>
</file>

<file path=customXml/itemProps2.xml><?xml version="1.0" encoding="utf-8"?>
<ds:datastoreItem xmlns:ds="http://schemas.openxmlformats.org/officeDocument/2006/customXml" ds:itemID="{FDBF36AC-1CDB-4835-BB34-D98407D81AEF}"/>
</file>

<file path=customXml/itemProps3.xml><?xml version="1.0" encoding="utf-8"?>
<ds:datastoreItem xmlns:ds="http://schemas.openxmlformats.org/officeDocument/2006/customXml" ds:itemID="{46448B44-3E1F-43E5-B94F-363F21C89945}"/>
</file>

<file path=customXml/itemProps4.xml><?xml version="1.0" encoding="utf-8"?>
<ds:datastoreItem xmlns:ds="http://schemas.openxmlformats.org/officeDocument/2006/customXml" ds:itemID="{004C5D2C-2371-484C-A030-EA2982C2C641}"/>
</file>

<file path=customXml/itemProps5.xml><?xml version="1.0" encoding="utf-8"?>
<ds:datastoreItem xmlns:ds="http://schemas.openxmlformats.org/officeDocument/2006/customXml" ds:itemID="{AD34778D-E7CF-4FA9-BCBD-A9151176026C}"/>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2015-11-16T17:30:00Z</cp:lastPrinted>
  <dcterms:created xsi:type="dcterms:W3CDTF">2015-11-17T17:31:00Z</dcterms:created>
  <dcterms:modified xsi:type="dcterms:W3CDTF">2015-11-17T17:31:00Z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0x010100B291E233B4BA184EB79E9C488682C258</vt:lpwstr>
  </property>
  <property fmtid="{D5CDD505-2E9C-101B-9397-08002B2CF9AE}" pid="3" name="_dlc_DocIdItemGuid">
    <vt:lpwstr>d953dcde-67b8-41e6-9495-e92279a8ca6a</vt:lpwstr>
  </property>
</Properties>
</file>